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F800D" w14:textId="77777777" w:rsidR="00EF7455" w:rsidRPr="00E4368E" w:rsidRDefault="00EF7455" w:rsidP="00CE6167">
      <w:bookmarkStart w:id="0" w:name="_GoBack"/>
      <w:bookmarkEnd w:id="0"/>
    </w:p>
    <w:p w14:paraId="55C070AD" w14:textId="77777777" w:rsidR="00EF7455" w:rsidRPr="00B764B2" w:rsidRDefault="00D554E8" w:rsidP="00B47F3A">
      <w:pPr>
        <w:jc w:val="center"/>
      </w:pPr>
      <w:r w:rsidRPr="00B764B2">
        <w:rPr>
          <w:noProof/>
        </w:rPr>
        <w:drawing>
          <wp:inline distT="0" distB="0" distL="0" distR="0" wp14:anchorId="244F8E08" wp14:editId="1B088D2B">
            <wp:extent cx="1626870" cy="1508125"/>
            <wp:effectExtent l="0" t="0" r="0" b="0"/>
            <wp:docPr id="1" name="Picture 1" descr="AP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C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6870" cy="1508125"/>
                    </a:xfrm>
                    <a:prstGeom prst="rect">
                      <a:avLst/>
                    </a:prstGeom>
                    <a:noFill/>
                    <a:ln>
                      <a:noFill/>
                    </a:ln>
                  </pic:spPr>
                </pic:pic>
              </a:graphicData>
            </a:graphic>
          </wp:inline>
        </w:drawing>
      </w:r>
    </w:p>
    <w:p w14:paraId="52AF83A6" w14:textId="77777777" w:rsidR="00EF7455" w:rsidRPr="00B764B2" w:rsidRDefault="00EF7455" w:rsidP="00CE6167"/>
    <w:p w14:paraId="325A593D" w14:textId="77777777" w:rsidR="00EF7455" w:rsidRPr="00B764B2" w:rsidRDefault="00EF7455" w:rsidP="00CE6167"/>
    <w:p w14:paraId="4F1E3C25" w14:textId="77777777" w:rsidR="003B694A" w:rsidRPr="00B764B2" w:rsidRDefault="003B694A" w:rsidP="00CE6167"/>
    <w:p w14:paraId="55F6401D" w14:textId="77777777" w:rsidR="003B694A" w:rsidRPr="00B764B2" w:rsidRDefault="003B694A" w:rsidP="00CE6167"/>
    <w:p w14:paraId="63068F38" w14:textId="77777777" w:rsidR="003B694A" w:rsidRPr="00B764B2" w:rsidRDefault="003B694A" w:rsidP="00B47F3A">
      <w:pPr>
        <w:jc w:val="center"/>
        <w:rPr>
          <w:b/>
          <w:sz w:val="40"/>
          <w:szCs w:val="40"/>
        </w:rPr>
      </w:pPr>
      <w:r w:rsidRPr="00B764B2">
        <w:rPr>
          <w:b/>
          <w:sz w:val="40"/>
          <w:szCs w:val="40"/>
        </w:rPr>
        <w:t>INVITATION TO TENDER (ITT)</w:t>
      </w:r>
    </w:p>
    <w:p w14:paraId="0DB14CC3" w14:textId="77777777" w:rsidR="003B694A" w:rsidRPr="00B764B2" w:rsidRDefault="003B694A" w:rsidP="00B47F3A">
      <w:pPr>
        <w:jc w:val="center"/>
        <w:rPr>
          <w:sz w:val="40"/>
          <w:szCs w:val="40"/>
        </w:rPr>
      </w:pPr>
    </w:p>
    <w:p w14:paraId="65DA7A27" w14:textId="77777777" w:rsidR="003B694A" w:rsidRPr="004F0169" w:rsidRDefault="003B694A" w:rsidP="004F0169">
      <w:pPr>
        <w:pStyle w:val="Subtitle"/>
        <w:spacing w:before="240"/>
      </w:pPr>
      <w:r w:rsidRPr="00B764B2">
        <w:rPr>
          <w:sz w:val="24"/>
          <w:szCs w:val="24"/>
        </w:rPr>
        <w:t>TENDER FOR:</w:t>
      </w:r>
      <w:r w:rsidR="00142A39" w:rsidRPr="00B764B2">
        <w:rPr>
          <w:sz w:val="24"/>
          <w:szCs w:val="24"/>
        </w:rPr>
        <w:t xml:space="preserve"> </w:t>
      </w:r>
      <w:r w:rsidR="004F0169">
        <w:t>Supply of a Virtual Learning Environment (VLE) and Associated Services</w:t>
      </w:r>
    </w:p>
    <w:p w14:paraId="098D158B" w14:textId="77777777" w:rsidR="003B694A" w:rsidRPr="00B764B2" w:rsidRDefault="003B694A" w:rsidP="00B47F3A">
      <w:pPr>
        <w:jc w:val="center"/>
        <w:rPr>
          <w:b/>
          <w:sz w:val="24"/>
          <w:szCs w:val="24"/>
        </w:rPr>
      </w:pPr>
    </w:p>
    <w:p w14:paraId="04803424" w14:textId="77777777" w:rsidR="003B694A" w:rsidRPr="00B764B2" w:rsidRDefault="003B694A" w:rsidP="00B47F3A">
      <w:pPr>
        <w:jc w:val="center"/>
        <w:rPr>
          <w:b/>
          <w:sz w:val="24"/>
          <w:szCs w:val="24"/>
        </w:rPr>
      </w:pPr>
      <w:r w:rsidRPr="00B764B2">
        <w:rPr>
          <w:b/>
          <w:sz w:val="24"/>
          <w:szCs w:val="24"/>
        </w:rPr>
        <w:t xml:space="preserve">TENDER REFERENCE: </w:t>
      </w:r>
      <w:r w:rsidR="004F0169" w:rsidRPr="004F0169">
        <w:rPr>
          <w:rFonts w:cs="Arial"/>
          <w:b/>
          <w:bCs/>
          <w:iCs/>
          <w:sz w:val="28"/>
          <w:szCs w:val="28"/>
          <w:lang w:val="en-US"/>
        </w:rPr>
        <w:t>ITS 1026AP</w:t>
      </w:r>
    </w:p>
    <w:p w14:paraId="455CF6DC" w14:textId="77777777" w:rsidR="00CD22EA" w:rsidRPr="00B764B2" w:rsidRDefault="00CD22EA" w:rsidP="00CE6167">
      <w:pPr>
        <w:rPr>
          <w:b/>
          <w:color w:val="0070C0"/>
        </w:rPr>
      </w:pPr>
      <w:r w:rsidRPr="00B764B2">
        <w:rPr>
          <w:b/>
          <w:color w:val="0070C0"/>
        </w:rPr>
        <w:br w:type="page"/>
      </w:r>
    </w:p>
    <w:p w14:paraId="1A772F17" w14:textId="77777777" w:rsidR="00761D29" w:rsidRPr="00B764B2" w:rsidRDefault="00761D29" w:rsidP="00B47F3A">
      <w:pPr>
        <w:jc w:val="center"/>
        <w:rPr>
          <w:b/>
          <w:sz w:val="24"/>
          <w:szCs w:val="24"/>
          <w:u w:val="single"/>
        </w:rPr>
      </w:pPr>
      <w:r w:rsidRPr="00B764B2">
        <w:rPr>
          <w:b/>
          <w:sz w:val="24"/>
          <w:szCs w:val="24"/>
          <w:u w:val="single"/>
        </w:rPr>
        <w:lastRenderedPageBreak/>
        <w:t>Table of Contents</w:t>
      </w:r>
    </w:p>
    <w:p w14:paraId="69563EAC" w14:textId="77777777" w:rsidR="00761D29" w:rsidRPr="00B764B2" w:rsidRDefault="00761D29" w:rsidP="00CE6167"/>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5386"/>
        <w:gridCol w:w="2076"/>
      </w:tblGrid>
      <w:tr w:rsidR="00761D29" w:rsidRPr="008C61B1" w14:paraId="52B80660" w14:textId="77777777" w:rsidTr="00C71A02">
        <w:trPr>
          <w:trHeight w:val="547"/>
        </w:trPr>
        <w:tc>
          <w:tcPr>
            <w:tcW w:w="1195" w:type="dxa"/>
            <w:vAlign w:val="center"/>
          </w:tcPr>
          <w:p w14:paraId="2CAF4AF7" w14:textId="77777777" w:rsidR="00761D29" w:rsidRPr="008C61B1" w:rsidRDefault="00761D29" w:rsidP="00CE6167">
            <w:pPr>
              <w:rPr>
                <w:b/>
                <w:szCs w:val="22"/>
              </w:rPr>
            </w:pPr>
            <w:r w:rsidRPr="008C61B1">
              <w:rPr>
                <w:b/>
                <w:szCs w:val="22"/>
              </w:rPr>
              <w:t>Section</w:t>
            </w:r>
          </w:p>
        </w:tc>
        <w:tc>
          <w:tcPr>
            <w:tcW w:w="5386" w:type="dxa"/>
            <w:vAlign w:val="center"/>
          </w:tcPr>
          <w:p w14:paraId="5BDBB095" w14:textId="77777777" w:rsidR="00761D29" w:rsidRPr="008C61B1" w:rsidRDefault="00761D29" w:rsidP="00CE6167">
            <w:pPr>
              <w:rPr>
                <w:b/>
                <w:szCs w:val="22"/>
              </w:rPr>
            </w:pPr>
            <w:r w:rsidRPr="008C61B1">
              <w:rPr>
                <w:b/>
                <w:szCs w:val="22"/>
              </w:rPr>
              <w:t>Contents</w:t>
            </w:r>
          </w:p>
        </w:tc>
        <w:tc>
          <w:tcPr>
            <w:tcW w:w="2076" w:type="dxa"/>
            <w:vAlign w:val="center"/>
          </w:tcPr>
          <w:p w14:paraId="16122F94" w14:textId="77777777" w:rsidR="00761D29" w:rsidRPr="008C61B1" w:rsidRDefault="00761D29" w:rsidP="00CE6167">
            <w:pPr>
              <w:rPr>
                <w:b/>
                <w:szCs w:val="22"/>
              </w:rPr>
            </w:pPr>
            <w:r w:rsidRPr="008C61B1">
              <w:rPr>
                <w:b/>
                <w:szCs w:val="22"/>
              </w:rPr>
              <w:t>Action</w:t>
            </w:r>
          </w:p>
        </w:tc>
      </w:tr>
      <w:tr w:rsidR="00761D29" w:rsidRPr="008C61B1" w14:paraId="66961E7B" w14:textId="77777777" w:rsidTr="00C71A02">
        <w:trPr>
          <w:trHeight w:val="554"/>
        </w:trPr>
        <w:tc>
          <w:tcPr>
            <w:tcW w:w="1195" w:type="dxa"/>
            <w:vAlign w:val="center"/>
          </w:tcPr>
          <w:p w14:paraId="78D960E5" w14:textId="77777777" w:rsidR="00761D29" w:rsidRPr="008C61B1" w:rsidRDefault="00761D29" w:rsidP="00C71A02">
            <w:pPr>
              <w:jc w:val="center"/>
              <w:rPr>
                <w:szCs w:val="22"/>
              </w:rPr>
            </w:pPr>
            <w:r w:rsidRPr="008C61B1">
              <w:rPr>
                <w:szCs w:val="22"/>
              </w:rPr>
              <w:t>1</w:t>
            </w:r>
          </w:p>
        </w:tc>
        <w:tc>
          <w:tcPr>
            <w:tcW w:w="5386" w:type="dxa"/>
            <w:vAlign w:val="center"/>
          </w:tcPr>
          <w:p w14:paraId="46673118" w14:textId="4765289A" w:rsidR="00761D29" w:rsidRPr="008C61B1" w:rsidRDefault="001C0F4C" w:rsidP="00CE6167">
            <w:pPr>
              <w:rPr>
                <w:szCs w:val="22"/>
              </w:rPr>
            </w:pPr>
            <w:hyperlink w:anchor="_General" w:history="1">
              <w:r w:rsidR="00647100" w:rsidRPr="00013214">
                <w:rPr>
                  <w:rStyle w:val="Hyperlink"/>
                  <w:szCs w:val="22"/>
                </w:rPr>
                <w:t xml:space="preserve">General </w:t>
              </w:r>
              <w:r w:rsidR="00761D29" w:rsidRPr="00013214">
                <w:rPr>
                  <w:rStyle w:val="Hyperlink"/>
                  <w:szCs w:val="22"/>
                </w:rPr>
                <w:t>Tender Information</w:t>
              </w:r>
            </w:hyperlink>
          </w:p>
        </w:tc>
        <w:tc>
          <w:tcPr>
            <w:tcW w:w="2076" w:type="dxa"/>
            <w:vAlign w:val="center"/>
          </w:tcPr>
          <w:p w14:paraId="7FD341F4" w14:textId="77777777" w:rsidR="00761D29" w:rsidRPr="008C61B1" w:rsidRDefault="00761D29" w:rsidP="00CE6167">
            <w:pPr>
              <w:rPr>
                <w:szCs w:val="22"/>
              </w:rPr>
            </w:pPr>
            <w:r w:rsidRPr="008C61B1">
              <w:rPr>
                <w:szCs w:val="22"/>
              </w:rPr>
              <w:t>For Information</w:t>
            </w:r>
          </w:p>
        </w:tc>
      </w:tr>
      <w:tr w:rsidR="00761D29" w:rsidRPr="008C61B1" w14:paraId="6C2DCDCD" w14:textId="77777777" w:rsidTr="00C71A02">
        <w:trPr>
          <w:trHeight w:val="548"/>
        </w:trPr>
        <w:tc>
          <w:tcPr>
            <w:tcW w:w="1195" w:type="dxa"/>
            <w:vAlign w:val="center"/>
          </w:tcPr>
          <w:p w14:paraId="281C43CE" w14:textId="77777777" w:rsidR="00761D29" w:rsidRPr="008C61B1" w:rsidRDefault="00761D29" w:rsidP="00C71A02">
            <w:pPr>
              <w:jc w:val="center"/>
              <w:rPr>
                <w:szCs w:val="22"/>
              </w:rPr>
            </w:pPr>
            <w:r w:rsidRPr="008C61B1">
              <w:rPr>
                <w:szCs w:val="22"/>
              </w:rPr>
              <w:t>2</w:t>
            </w:r>
          </w:p>
        </w:tc>
        <w:tc>
          <w:tcPr>
            <w:tcW w:w="5386" w:type="dxa"/>
            <w:vAlign w:val="center"/>
          </w:tcPr>
          <w:p w14:paraId="5F61F79F" w14:textId="4B299C64" w:rsidR="00761D29" w:rsidRPr="008C61B1" w:rsidRDefault="001C0F4C" w:rsidP="00CE6167">
            <w:pPr>
              <w:rPr>
                <w:szCs w:val="22"/>
              </w:rPr>
            </w:pPr>
            <w:hyperlink w:anchor="_Background" w:history="1">
              <w:r w:rsidR="00E810EF" w:rsidRPr="00013214">
                <w:rPr>
                  <w:rStyle w:val="Hyperlink"/>
                  <w:szCs w:val="22"/>
                </w:rPr>
                <w:t>Specification of Requirements</w:t>
              </w:r>
            </w:hyperlink>
          </w:p>
        </w:tc>
        <w:tc>
          <w:tcPr>
            <w:tcW w:w="2076" w:type="dxa"/>
            <w:vAlign w:val="center"/>
          </w:tcPr>
          <w:p w14:paraId="4C657B08" w14:textId="77777777" w:rsidR="00761D29" w:rsidRPr="008C61B1" w:rsidRDefault="00761D29" w:rsidP="00CE6167">
            <w:pPr>
              <w:rPr>
                <w:szCs w:val="22"/>
              </w:rPr>
            </w:pPr>
            <w:r w:rsidRPr="008C61B1">
              <w:rPr>
                <w:szCs w:val="22"/>
              </w:rPr>
              <w:t>For Information</w:t>
            </w:r>
          </w:p>
        </w:tc>
      </w:tr>
      <w:tr w:rsidR="00761D29" w:rsidRPr="008C61B1" w14:paraId="43459873" w14:textId="77777777" w:rsidTr="00C71A02">
        <w:trPr>
          <w:trHeight w:val="556"/>
        </w:trPr>
        <w:tc>
          <w:tcPr>
            <w:tcW w:w="1195" w:type="dxa"/>
            <w:vAlign w:val="center"/>
          </w:tcPr>
          <w:p w14:paraId="343D20E4" w14:textId="77777777" w:rsidR="00761D29" w:rsidRPr="008C61B1" w:rsidRDefault="00761D29" w:rsidP="00C71A02">
            <w:pPr>
              <w:jc w:val="center"/>
              <w:rPr>
                <w:szCs w:val="22"/>
              </w:rPr>
            </w:pPr>
            <w:r w:rsidRPr="008C61B1">
              <w:rPr>
                <w:szCs w:val="22"/>
              </w:rPr>
              <w:t>3</w:t>
            </w:r>
          </w:p>
        </w:tc>
        <w:tc>
          <w:tcPr>
            <w:tcW w:w="5386" w:type="dxa"/>
            <w:vAlign w:val="center"/>
          </w:tcPr>
          <w:p w14:paraId="2823A891" w14:textId="2F502527" w:rsidR="00761D29" w:rsidRPr="008C61B1" w:rsidRDefault="001C0F4C" w:rsidP="00CE6167">
            <w:pPr>
              <w:rPr>
                <w:szCs w:val="22"/>
              </w:rPr>
            </w:pPr>
            <w:hyperlink w:anchor="_Introduction" w:history="1">
              <w:r w:rsidR="00E810EF" w:rsidRPr="00013214">
                <w:rPr>
                  <w:rStyle w:val="Hyperlink"/>
                  <w:szCs w:val="22"/>
                </w:rPr>
                <w:t>Tender Questions and Evaluation Criteria</w:t>
              </w:r>
            </w:hyperlink>
          </w:p>
        </w:tc>
        <w:tc>
          <w:tcPr>
            <w:tcW w:w="2076" w:type="dxa"/>
            <w:vAlign w:val="center"/>
          </w:tcPr>
          <w:p w14:paraId="7B067F11" w14:textId="77777777" w:rsidR="00761D29" w:rsidRPr="008C61B1" w:rsidRDefault="00761D29" w:rsidP="00CE6167">
            <w:pPr>
              <w:rPr>
                <w:szCs w:val="22"/>
              </w:rPr>
            </w:pPr>
            <w:r w:rsidRPr="008C61B1">
              <w:rPr>
                <w:szCs w:val="22"/>
              </w:rPr>
              <w:t>For Information</w:t>
            </w:r>
          </w:p>
        </w:tc>
      </w:tr>
    </w:tbl>
    <w:p w14:paraId="5FF6558F" w14:textId="77777777" w:rsidR="00761D29" w:rsidRPr="008C61B1" w:rsidRDefault="00761D29" w:rsidP="00CE6167">
      <w:pPr>
        <w:rPr>
          <w:szCs w:val="22"/>
        </w:rPr>
      </w:pPr>
    </w:p>
    <w:tbl>
      <w:tblPr>
        <w:tblW w:w="94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5079"/>
        <w:gridCol w:w="3118"/>
      </w:tblGrid>
      <w:tr w:rsidR="00761D29" w:rsidRPr="008C61B1" w14:paraId="22FD6BCE" w14:textId="77777777" w:rsidTr="005B534D">
        <w:trPr>
          <w:trHeight w:val="499"/>
        </w:trPr>
        <w:tc>
          <w:tcPr>
            <w:tcW w:w="1219" w:type="dxa"/>
            <w:vAlign w:val="center"/>
          </w:tcPr>
          <w:p w14:paraId="083D2A5E" w14:textId="77777777" w:rsidR="00761D29" w:rsidRPr="008C61B1" w:rsidRDefault="00761D29" w:rsidP="00691426">
            <w:pPr>
              <w:jc w:val="center"/>
              <w:rPr>
                <w:b/>
                <w:szCs w:val="22"/>
              </w:rPr>
            </w:pPr>
            <w:r w:rsidRPr="008C61B1">
              <w:rPr>
                <w:b/>
                <w:szCs w:val="22"/>
              </w:rPr>
              <w:t>Appendix</w:t>
            </w:r>
          </w:p>
        </w:tc>
        <w:tc>
          <w:tcPr>
            <w:tcW w:w="5079" w:type="dxa"/>
            <w:vAlign w:val="center"/>
          </w:tcPr>
          <w:p w14:paraId="2D8EFC57" w14:textId="77777777" w:rsidR="00761D29" w:rsidRPr="008C61B1" w:rsidRDefault="00761D29" w:rsidP="00CE6167">
            <w:pPr>
              <w:rPr>
                <w:b/>
                <w:szCs w:val="22"/>
              </w:rPr>
            </w:pPr>
            <w:r w:rsidRPr="008C61B1">
              <w:rPr>
                <w:b/>
                <w:szCs w:val="22"/>
              </w:rPr>
              <w:t>Contents</w:t>
            </w:r>
          </w:p>
        </w:tc>
        <w:tc>
          <w:tcPr>
            <w:tcW w:w="3118" w:type="dxa"/>
            <w:vAlign w:val="center"/>
          </w:tcPr>
          <w:p w14:paraId="6173652D" w14:textId="77777777" w:rsidR="00761D29" w:rsidRPr="008C61B1" w:rsidRDefault="00761D29" w:rsidP="0095383D">
            <w:pPr>
              <w:jc w:val="left"/>
              <w:rPr>
                <w:b/>
                <w:szCs w:val="22"/>
              </w:rPr>
            </w:pPr>
            <w:r w:rsidRPr="008C61B1">
              <w:rPr>
                <w:b/>
                <w:szCs w:val="22"/>
              </w:rPr>
              <w:t>Action</w:t>
            </w:r>
          </w:p>
        </w:tc>
      </w:tr>
      <w:tr w:rsidR="00901778" w:rsidRPr="008C61B1" w14:paraId="4DD6EB3B" w14:textId="77777777" w:rsidTr="005B534D">
        <w:trPr>
          <w:trHeight w:val="534"/>
        </w:trPr>
        <w:tc>
          <w:tcPr>
            <w:tcW w:w="1219" w:type="dxa"/>
            <w:vAlign w:val="center"/>
          </w:tcPr>
          <w:p w14:paraId="6F1D8C5C" w14:textId="77777777" w:rsidR="00901778" w:rsidRPr="008C61B1" w:rsidRDefault="00901778" w:rsidP="00240B20">
            <w:pPr>
              <w:tabs>
                <w:tab w:val="left" w:pos="1440"/>
                <w:tab w:val="left" w:pos="2160"/>
                <w:tab w:val="left" w:pos="2880"/>
                <w:tab w:val="left" w:pos="4502"/>
                <w:tab w:val="left" w:pos="5398"/>
                <w:tab w:val="right" w:pos="8998"/>
              </w:tabs>
              <w:jc w:val="center"/>
              <w:rPr>
                <w:rFonts w:cs="Arial"/>
                <w:szCs w:val="22"/>
              </w:rPr>
            </w:pPr>
            <w:r w:rsidRPr="008C61B1">
              <w:rPr>
                <w:rFonts w:cs="Arial"/>
                <w:szCs w:val="22"/>
              </w:rPr>
              <w:t>A</w:t>
            </w:r>
          </w:p>
        </w:tc>
        <w:tc>
          <w:tcPr>
            <w:tcW w:w="5079" w:type="dxa"/>
            <w:vAlign w:val="center"/>
          </w:tcPr>
          <w:p w14:paraId="5B9E8D0C" w14:textId="77777777" w:rsidR="00901778" w:rsidRPr="008C61B1" w:rsidRDefault="00901778" w:rsidP="00240B20">
            <w:pPr>
              <w:tabs>
                <w:tab w:val="left" w:pos="1440"/>
                <w:tab w:val="left" w:pos="2160"/>
                <w:tab w:val="left" w:pos="2880"/>
                <w:tab w:val="left" w:pos="4502"/>
                <w:tab w:val="left" w:pos="5398"/>
                <w:tab w:val="right" w:pos="8998"/>
              </w:tabs>
              <w:jc w:val="left"/>
              <w:rPr>
                <w:rFonts w:cs="Arial"/>
                <w:szCs w:val="22"/>
              </w:rPr>
            </w:pPr>
            <w:r w:rsidRPr="008C61B1">
              <w:rPr>
                <w:rFonts w:cs="Arial"/>
                <w:szCs w:val="22"/>
              </w:rPr>
              <w:t>Form of Tender</w:t>
            </w:r>
          </w:p>
        </w:tc>
        <w:tc>
          <w:tcPr>
            <w:tcW w:w="3118" w:type="dxa"/>
            <w:vAlign w:val="center"/>
          </w:tcPr>
          <w:p w14:paraId="6C95E74A" w14:textId="77777777" w:rsidR="00901778" w:rsidRPr="008C61B1" w:rsidRDefault="0005636A" w:rsidP="008C61B1">
            <w:pPr>
              <w:tabs>
                <w:tab w:val="left" w:pos="1440"/>
                <w:tab w:val="left" w:pos="2160"/>
                <w:tab w:val="left" w:pos="2880"/>
                <w:tab w:val="left" w:pos="4502"/>
                <w:tab w:val="left" w:pos="5398"/>
                <w:tab w:val="right" w:pos="8998"/>
              </w:tabs>
              <w:jc w:val="left"/>
              <w:rPr>
                <w:rFonts w:cs="Arial"/>
                <w:szCs w:val="22"/>
              </w:rPr>
            </w:pPr>
            <w:r w:rsidRPr="008C61B1">
              <w:rPr>
                <w:rFonts w:cs="Arial"/>
                <w:szCs w:val="22"/>
              </w:rPr>
              <w:t xml:space="preserve">For </w:t>
            </w:r>
            <w:r w:rsidR="004F0169" w:rsidRPr="008C61B1">
              <w:rPr>
                <w:rFonts w:cs="Arial"/>
                <w:szCs w:val="22"/>
              </w:rPr>
              <w:t>Submission P</w:t>
            </w:r>
            <w:r w:rsidR="0097598B" w:rsidRPr="008C61B1">
              <w:rPr>
                <w:rFonts w:cs="Arial"/>
                <w:szCs w:val="22"/>
              </w:rPr>
              <w:t xml:space="preserve">rior to </w:t>
            </w:r>
            <w:r w:rsidRPr="008C61B1">
              <w:rPr>
                <w:rFonts w:cs="Arial"/>
                <w:szCs w:val="22"/>
              </w:rPr>
              <w:t>Award</w:t>
            </w:r>
          </w:p>
        </w:tc>
      </w:tr>
      <w:tr w:rsidR="00901778" w:rsidRPr="008C61B1" w14:paraId="2D6BE586" w14:textId="77777777" w:rsidTr="005B534D">
        <w:trPr>
          <w:trHeight w:val="570"/>
        </w:trPr>
        <w:tc>
          <w:tcPr>
            <w:tcW w:w="1219" w:type="dxa"/>
            <w:vAlign w:val="center"/>
          </w:tcPr>
          <w:p w14:paraId="490B1F42" w14:textId="77777777" w:rsidR="00901778" w:rsidRPr="008C61B1" w:rsidRDefault="00901778" w:rsidP="00240B20">
            <w:pPr>
              <w:tabs>
                <w:tab w:val="left" w:pos="1440"/>
                <w:tab w:val="left" w:pos="2160"/>
                <w:tab w:val="left" w:pos="2880"/>
                <w:tab w:val="left" w:pos="4502"/>
                <w:tab w:val="left" w:pos="5398"/>
                <w:tab w:val="right" w:pos="8998"/>
              </w:tabs>
              <w:jc w:val="center"/>
              <w:rPr>
                <w:rFonts w:cs="Arial"/>
                <w:szCs w:val="22"/>
              </w:rPr>
            </w:pPr>
            <w:r w:rsidRPr="008C61B1">
              <w:rPr>
                <w:rFonts w:cs="Arial"/>
                <w:szCs w:val="22"/>
              </w:rPr>
              <w:t>B</w:t>
            </w:r>
          </w:p>
        </w:tc>
        <w:tc>
          <w:tcPr>
            <w:tcW w:w="5079" w:type="dxa"/>
            <w:vAlign w:val="center"/>
          </w:tcPr>
          <w:p w14:paraId="4ABB053C" w14:textId="77777777" w:rsidR="00901778" w:rsidRPr="008C61B1" w:rsidRDefault="00901778" w:rsidP="00240B20">
            <w:pPr>
              <w:tabs>
                <w:tab w:val="left" w:pos="1440"/>
                <w:tab w:val="left" w:pos="2160"/>
                <w:tab w:val="left" w:pos="2880"/>
                <w:tab w:val="left" w:pos="4502"/>
                <w:tab w:val="left" w:pos="5398"/>
                <w:tab w:val="right" w:pos="8998"/>
              </w:tabs>
              <w:jc w:val="left"/>
              <w:rPr>
                <w:rFonts w:cs="Arial"/>
                <w:szCs w:val="22"/>
              </w:rPr>
            </w:pPr>
            <w:r w:rsidRPr="008C61B1">
              <w:rPr>
                <w:rFonts w:cs="Arial"/>
                <w:szCs w:val="22"/>
              </w:rPr>
              <w:t>Freedom of Information</w:t>
            </w:r>
          </w:p>
        </w:tc>
        <w:tc>
          <w:tcPr>
            <w:tcW w:w="3118" w:type="dxa"/>
            <w:vAlign w:val="center"/>
          </w:tcPr>
          <w:p w14:paraId="03C4BBF9" w14:textId="77777777" w:rsidR="00901778" w:rsidRPr="008C61B1" w:rsidRDefault="0005636A" w:rsidP="008C61B1">
            <w:pPr>
              <w:tabs>
                <w:tab w:val="left" w:pos="1440"/>
                <w:tab w:val="left" w:pos="2160"/>
                <w:tab w:val="left" w:pos="2880"/>
                <w:tab w:val="left" w:pos="4502"/>
                <w:tab w:val="left" w:pos="5398"/>
                <w:tab w:val="right" w:pos="8998"/>
              </w:tabs>
              <w:jc w:val="left"/>
              <w:rPr>
                <w:rFonts w:cs="Arial"/>
                <w:szCs w:val="22"/>
              </w:rPr>
            </w:pPr>
            <w:r w:rsidRPr="008C61B1">
              <w:rPr>
                <w:rFonts w:cs="Arial"/>
                <w:szCs w:val="22"/>
              </w:rPr>
              <w:t xml:space="preserve">For </w:t>
            </w:r>
            <w:r w:rsidR="004F0169" w:rsidRPr="008C61B1">
              <w:rPr>
                <w:rFonts w:cs="Arial"/>
                <w:szCs w:val="22"/>
              </w:rPr>
              <w:t>Submission P</w:t>
            </w:r>
            <w:r w:rsidR="0097598B" w:rsidRPr="008C61B1">
              <w:rPr>
                <w:rFonts w:cs="Arial"/>
                <w:szCs w:val="22"/>
              </w:rPr>
              <w:t xml:space="preserve">rior to </w:t>
            </w:r>
            <w:r w:rsidRPr="008C61B1">
              <w:rPr>
                <w:rFonts w:cs="Arial"/>
                <w:szCs w:val="22"/>
              </w:rPr>
              <w:t xml:space="preserve">Award if </w:t>
            </w:r>
            <w:r w:rsidR="006D18ED" w:rsidRPr="008C61B1">
              <w:rPr>
                <w:rFonts w:cs="Arial"/>
                <w:szCs w:val="22"/>
              </w:rPr>
              <w:t>A</w:t>
            </w:r>
            <w:r w:rsidRPr="008C61B1">
              <w:rPr>
                <w:rFonts w:cs="Arial"/>
                <w:szCs w:val="22"/>
              </w:rPr>
              <w:t>pplicable</w:t>
            </w:r>
          </w:p>
        </w:tc>
      </w:tr>
      <w:tr w:rsidR="00901778" w:rsidRPr="008C61B1" w14:paraId="3F1D35C5" w14:textId="77777777" w:rsidTr="005B534D">
        <w:trPr>
          <w:trHeight w:val="570"/>
        </w:trPr>
        <w:tc>
          <w:tcPr>
            <w:tcW w:w="1219" w:type="dxa"/>
            <w:vAlign w:val="center"/>
          </w:tcPr>
          <w:p w14:paraId="1F5103A6" w14:textId="77777777" w:rsidR="00901778" w:rsidRPr="008C61B1" w:rsidRDefault="00901778" w:rsidP="00240B20">
            <w:pPr>
              <w:tabs>
                <w:tab w:val="left" w:pos="1440"/>
                <w:tab w:val="left" w:pos="2160"/>
                <w:tab w:val="left" w:pos="2880"/>
                <w:tab w:val="left" w:pos="4502"/>
                <w:tab w:val="left" w:pos="5398"/>
                <w:tab w:val="right" w:pos="8998"/>
              </w:tabs>
              <w:jc w:val="center"/>
              <w:rPr>
                <w:rFonts w:cs="Arial"/>
                <w:szCs w:val="22"/>
              </w:rPr>
            </w:pPr>
            <w:r w:rsidRPr="008C61B1">
              <w:rPr>
                <w:rFonts w:cs="Arial"/>
                <w:szCs w:val="22"/>
              </w:rPr>
              <w:t>C</w:t>
            </w:r>
          </w:p>
        </w:tc>
        <w:tc>
          <w:tcPr>
            <w:tcW w:w="5079" w:type="dxa"/>
            <w:vAlign w:val="center"/>
          </w:tcPr>
          <w:p w14:paraId="0205B31A" w14:textId="77777777" w:rsidR="00901778" w:rsidRPr="008C61B1" w:rsidRDefault="00901778" w:rsidP="005B534D">
            <w:pPr>
              <w:tabs>
                <w:tab w:val="left" w:pos="9"/>
                <w:tab w:val="left" w:pos="1440"/>
                <w:tab w:val="left" w:pos="2160"/>
                <w:tab w:val="left" w:pos="2880"/>
                <w:tab w:val="left" w:pos="4502"/>
                <w:tab w:val="left" w:pos="5398"/>
                <w:tab w:val="right" w:pos="8998"/>
              </w:tabs>
              <w:ind w:left="9"/>
              <w:jc w:val="left"/>
              <w:rPr>
                <w:rFonts w:cs="Arial"/>
                <w:szCs w:val="22"/>
              </w:rPr>
            </w:pPr>
            <w:r w:rsidRPr="008C61B1">
              <w:rPr>
                <w:rFonts w:cs="Arial"/>
                <w:szCs w:val="22"/>
              </w:rPr>
              <w:t xml:space="preserve">Authority’s Framework Agreement </w:t>
            </w:r>
            <w:r w:rsidR="005B534D" w:rsidRPr="008C61B1">
              <w:rPr>
                <w:rFonts w:cs="Arial"/>
                <w:szCs w:val="22"/>
              </w:rPr>
              <w:t xml:space="preserve">Terms and </w:t>
            </w:r>
            <w:r w:rsidRPr="008C61B1">
              <w:rPr>
                <w:rFonts w:cs="Arial"/>
                <w:szCs w:val="22"/>
              </w:rPr>
              <w:t>Conditions</w:t>
            </w:r>
          </w:p>
        </w:tc>
        <w:tc>
          <w:tcPr>
            <w:tcW w:w="3118" w:type="dxa"/>
            <w:vAlign w:val="center"/>
          </w:tcPr>
          <w:p w14:paraId="2FB49DF9" w14:textId="77777777" w:rsidR="00901778" w:rsidRPr="008C61B1" w:rsidRDefault="00901778" w:rsidP="008C61B1">
            <w:pPr>
              <w:tabs>
                <w:tab w:val="left" w:pos="1440"/>
                <w:tab w:val="left" w:pos="2160"/>
                <w:tab w:val="left" w:pos="2880"/>
                <w:tab w:val="left" w:pos="4502"/>
                <w:tab w:val="left" w:pos="5398"/>
                <w:tab w:val="right" w:pos="8998"/>
              </w:tabs>
              <w:jc w:val="left"/>
              <w:rPr>
                <w:rFonts w:cs="Arial"/>
                <w:szCs w:val="22"/>
              </w:rPr>
            </w:pPr>
            <w:r w:rsidRPr="008C61B1">
              <w:rPr>
                <w:rFonts w:cs="Arial"/>
                <w:szCs w:val="22"/>
              </w:rPr>
              <w:t>For Information</w:t>
            </w:r>
          </w:p>
        </w:tc>
      </w:tr>
      <w:tr w:rsidR="00F32CAF" w:rsidRPr="008C61B1" w14:paraId="658EB52B" w14:textId="77777777" w:rsidTr="005B534D">
        <w:trPr>
          <w:trHeight w:val="566"/>
        </w:trPr>
        <w:tc>
          <w:tcPr>
            <w:tcW w:w="1219" w:type="dxa"/>
            <w:vAlign w:val="center"/>
          </w:tcPr>
          <w:p w14:paraId="5EA4AF04" w14:textId="77777777" w:rsidR="00F32CAF" w:rsidRPr="008C61B1" w:rsidRDefault="00C11AC1" w:rsidP="00C11AC1">
            <w:pPr>
              <w:tabs>
                <w:tab w:val="left" w:pos="1440"/>
                <w:tab w:val="left" w:pos="2160"/>
                <w:tab w:val="left" w:pos="2880"/>
                <w:tab w:val="left" w:pos="4502"/>
                <w:tab w:val="left" w:pos="5398"/>
                <w:tab w:val="right" w:pos="8998"/>
              </w:tabs>
              <w:jc w:val="center"/>
              <w:rPr>
                <w:rFonts w:cs="Arial"/>
                <w:szCs w:val="22"/>
              </w:rPr>
            </w:pPr>
            <w:r w:rsidRPr="008C61B1">
              <w:rPr>
                <w:rFonts w:cs="Arial"/>
                <w:szCs w:val="22"/>
              </w:rPr>
              <w:t>D</w:t>
            </w:r>
          </w:p>
        </w:tc>
        <w:tc>
          <w:tcPr>
            <w:tcW w:w="5079" w:type="dxa"/>
            <w:vAlign w:val="center"/>
          </w:tcPr>
          <w:p w14:paraId="6EDB0E3B" w14:textId="77777777" w:rsidR="00F32CAF" w:rsidRPr="008C61B1" w:rsidRDefault="00F32CAF" w:rsidP="00F32CAF">
            <w:pPr>
              <w:tabs>
                <w:tab w:val="left" w:pos="1440"/>
                <w:tab w:val="left" w:pos="2160"/>
                <w:tab w:val="left" w:pos="2880"/>
                <w:tab w:val="left" w:pos="4502"/>
                <w:tab w:val="left" w:pos="5398"/>
                <w:tab w:val="right" w:pos="8998"/>
              </w:tabs>
              <w:jc w:val="left"/>
              <w:rPr>
                <w:rFonts w:cs="Arial"/>
                <w:szCs w:val="22"/>
              </w:rPr>
            </w:pPr>
            <w:r w:rsidRPr="008C61B1">
              <w:rPr>
                <w:rFonts w:cs="Arial"/>
                <w:szCs w:val="22"/>
              </w:rPr>
              <w:t>Supply Chain Code of Conduct</w:t>
            </w:r>
          </w:p>
        </w:tc>
        <w:tc>
          <w:tcPr>
            <w:tcW w:w="3118" w:type="dxa"/>
            <w:vAlign w:val="center"/>
          </w:tcPr>
          <w:p w14:paraId="64BDEF35" w14:textId="77777777" w:rsidR="00F32CAF" w:rsidRPr="008C61B1" w:rsidRDefault="0005636A" w:rsidP="008C61B1">
            <w:pPr>
              <w:tabs>
                <w:tab w:val="left" w:pos="1440"/>
                <w:tab w:val="left" w:pos="2160"/>
                <w:tab w:val="left" w:pos="2880"/>
                <w:tab w:val="left" w:pos="4502"/>
                <w:tab w:val="left" w:pos="5398"/>
                <w:tab w:val="right" w:pos="8998"/>
              </w:tabs>
              <w:jc w:val="left"/>
              <w:rPr>
                <w:rFonts w:cs="Arial"/>
                <w:szCs w:val="22"/>
              </w:rPr>
            </w:pPr>
            <w:r w:rsidRPr="008C61B1">
              <w:rPr>
                <w:rFonts w:cs="Arial"/>
                <w:szCs w:val="22"/>
              </w:rPr>
              <w:t>For</w:t>
            </w:r>
            <w:r w:rsidR="004F0169" w:rsidRPr="008C61B1">
              <w:rPr>
                <w:rFonts w:cs="Arial"/>
                <w:szCs w:val="22"/>
              </w:rPr>
              <w:t xml:space="preserve"> Submission P</w:t>
            </w:r>
            <w:r w:rsidR="0097598B" w:rsidRPr="008C61B1">
              <w:rPr>
                <w:rFonts w:cs="Arial"/>
                <w:szCs w:val="22"/>
              </w:rPr>
              <w:t xml:space="preserve">rior to </w:t>
            </w:r>
            <w:r w:rsidRPr="008C61B1">
              <w:rPr>
                <w:rFonts w:cs="Arial"/>
                <w:szCs w:val="22"/>
              </w:rPr>
              <w:t>Award</w:t>
            </w:r>
          </w:p>
        </w:tc>
      </w:tr>
      <w:tr w:rsidR="009237F7" w:rsidRPr="008C61B1" w14:paraId="73E225F0" w14:textId="77777777" w:rsidTr="005B534D">
        <w:trPr>
          <w:trHeight w:val="566"/>
        </w:trPr>
        <w:tc>
          <w:tcPr>
            <w:tcW w:w="1219" w:type="dxa"/>
            <w:vAlign w:val="center"/>
          </w:tcPr>
          <w:p w14:paraId="2EC9288F" w14:textId="77777777" w:rsidR="009237F7" w:rsidRPr="008C61B1" w:rsidRDefault="00C11AC1" w:rsidP="00C11AC1">
            <w:pPr>
              <w:tabs>
                <w:tab w:val="left" w:pos="1440"/>
                <w:tab w:val="left" w:pos="2160"/>
                <w:tab w:val="left" w:pos="2880"/>
                <w:tab w:val="left" w:pos="4502"/>
                <w:tab w:val="left" w:pos="5398"/>
                <w:tab w:val="right" w:pos="8998"/>
              </w:tabs>
              <w:jc w:val="center"/>
              <w:rPr>
                <w:rFonts w:cs="Arial"/>
                <w:szCs w:val="22"/>
              </w:rPr>
            </w:pPr>
            <w:r w:rsidRPr="008C61B1">
              <w:rPr>
                <w:rFonts w:cs="Arial"/>
                <w:szCs w:val="22"/>
              </w:rPr>
              <w:t>E</w:t>
            </w:r>
          </w:p>
        </w:tc>
        <w:tc>
          <w:tcPr>
            <w:tcW w:w="5079" w:type="dxa"/>
            <w:vAlign w:val="center"/>
          </w:tcPr>
          <w:p w14:paraId="7625CC0A" w14:textId="77777777" w:rsidR="009237F7" w:rsidRPr="008C61B1" w:rsidRDefault="009237F7" w:rsidP="006647DA">
            <w:pPr>
              <w:tabs>
                <w:tab w:val="left" w:pos="1440"/>
                <w:tab w:val="left" w:pos="2160"/>
                <w:tab w:val="left" w:pos="2880"/>
                <w:tab w:val="left" w:pos="4502"/>
                <w:tab w:val="left" w:pos="5398"/>
                <w:tab w:val="right" w:pos="8998"/>
              </w:tabs>
              <w:jc w:val="left"/>
              <w:rPr>
                <w:rFonts w:cs="Arial"/>
                <w:szCs w:val="22"/>
              </w:rPr>
            </w:pPr>
            <w:r w:rsidRPr="008C61B1">
              <w:rPr>
                <w:rFonts w:cs="Arial"/>
                <w:szCs w:val="22"/>
              </w:rPr>
              <w:t>List of Institution</w:t>
            </w:r>
            <w:r w:rsidR="000D5CE4">
              <w:rPr>
                <w:rFonts w:cs="Arial"/>
                <w:szCs w:val="22"/>
              </w:rPr>
              <w:t>s</w:t>
            </w:r>
          </w:p>
        </w:tc>
        <w:tc>
          <w:tcPr>
            <w:tcW w:w="3118" w:type="dxa"/>
            <w:vAlign w:val="center"/>
          </w:tcPr>
          <w:p w14:paraId="23119086" w14:textId="77777777" w:rsidR="009237F7" w:rsidRPr="008C61B1" w:rsidRDefault="009237F7" w:rsidP="008C61B1">
            <w:pPr>
              <w:tabs>
                <w:tab w:val="left" w:pos="1440"/>
                <w:tab w:val="left" w:pos="2160"/>
                <w:tab w:val="left" w:pos="2880"/>
                <w:tab w:val="left" w:pos="4502"/>
                <w:tab w:val="left" w:pos="5398"/>
                <w:tab w:val="right" w:pos="8998"/>
              </w:tabs>
              <w:jc w:val="left"/>
              <w:rPr>
                <w:rFonts w:cs="Arial"/>
                <w:szCs w:val="22"/>
              </w:rPr>
            </w:pPr>
            <w:r w:rsidRPr="008C61B1">
              <w:rPr>
                <w:rFonts w:cs="Arial"/>
                <w:szCs w:val="22"/>
              </w:rPr>
              <w:t>For Information</w:t>
            </w:r>
          </w:p>
        </w:tc>
      </w:tr>
      <w:tr w:rsidR="000D5CE4" w:rsidRPr="008C61B1" w14:paraId="2CC9BF08" w14:textId="77777777" w:rsidTr="005B534D">
        <w:trPr>
          <w:trHeight w:val="566"/>
        </w:trPr>
        <w:tc>
          <w:tcPr>
            <w:tcW w:w="1219" w:type="dxa"/>
            <w:vAlign w:val="center"/>
          </w:tcPr>
          <w:p w14:paraId="45D67068" w14:textId="77777777" w:rsidR="000D5CE4" w:rsidRPr="008C61B1" w:rsidRDefault="000D5CE4" w:rsidP="000D5CE4">
            <w:pPr>
              <w:tabs>
                <w:tab w:val="left" w:pos="1440"/>
                <w:tab w:val="left" w:pos="2160"/>
                <w:tab w:val="left" w:pos="2880"/>
                <w:tab w:val="left" w:pos="4502"/>
                <w:tab w:val="left" w:pos="5398"/>
                <w:tab w:val="right" w:pos="8998"/>
              </w:tabs>
              <w:jc w:val="center"/>
              <w:rPr>
                <w:rFonts w:cs="Arial"/>
                <w:szCs w:val="22"/>
              </w:rPr>
            </w:pPr>
            <w:r>
              <w:rPr>
                <w:rFonts w:cs="Arial"/>
                <w:szCs w:val="22"/>
              </w:rPr>
              <w:t>F</w:t>
            </w:r>
          </w:p>
        </w:tc>
        <w:tc>
          <w:tcPr>
            <w:tcW w:w="5079" w:type="dxa"/>
            <w:vAlign w:val="center"/>
          </w:tcPr>
          <w:p w14:paraId="4EA32850" w14:textId="77777777" w:rsidR="000D5CE4" w:rsidRPr="008C61B1" w:rsidRDefault="000D5CE4" w:rsidP="000D5CE4">
            <w:pPr>
              <w:spacing w:line="276" w:lineRule="auto"/>
              <w:contextualSpacing/>
              <w:jc w:val="left"/>
              <w:rPr>
                <w:rFonts w:cs="Arial"/>
                <w:szCs w:val="22"/>
              </w:rPr>
            </w:pPr>
            <w:r w:rsidRPr="008C61B1">
              <w:rPr>
                <w:rFonts w:cs="Arial"/>
                <w:szCs w:val="22"/>
              </w:rPr>
              <w:t>Pricing Schedule</w:t>
            </w:r>
            <w:r w:rsidRPr="008C61B1" w:rsidDel="000A1A4D">
              <w:rPr>
                <w:rFonts w:cs="Arial"/>
                <w:szCs w:val="22"/>
              </w:rPr>
              <w:t xml:space="preserve"> </w:t>
            </w:r>
          </w:p>
        </w:tc>
        <w:tc>
          <w:tcPr>
            <w:tcW w:w="3118" w:type="dxa"/>
            <w:vAlign w:val="center"/>
          </w:tcPr>
          <w:p w14:paraId="644E596E" w14:textId="77777777" w:rsidR="000D5CE4" w:rsidRPr="008C61B1" w:rsidRDefault="000D5CE4" w:rsidP="000D5CE4">
            <w:pPr>
              <w:jc w:val="left"/>
              <w:rPr>
                <w:rFonts w:cs="Arial"/>
                <w:szCs w:val="22"/>
              </w:rPr>
            </w:pPr>
            <w:r w:rsidRPr="008C61B1">
              <w:rPr>
                <w:rFonts w:cs="Arial"/>
                <w:szCs w:val="22"/>
              </w:rPr>
              <w:t>For Completion</w:t>
            </w:r>
          </w:p>
        </w:tc>
      </w:tr>
      <w:tr w:rsidR="000D5CE4" w:rsidRPr="008C61B1" w14:paraId="4A7460B1" w14:textId="77777777" w:rsidTr="005F7644">
        <w:trPr>
          <w:trHeight w:val="574"/>
        </w:trPr>
        <w:tc>
          <w:tcPr>
            <w:tcW w:w="1219" w:type="dxa"/>
            <w:vAlign w:val="center"/>
          </w:tcPr>
          <w:p w14:paraId="52B2693A" w14:textId="328220D4" w:rsidR="000D5CE4" w:rsidRPr="008C61B1" w:rsidRDefault="00B75D83" w:rsidP="000D5CE4">
            <w:pPr>
              <w:tabs>
                <w:tab w:val="left" w:pos="1440"/>
                <w:tab w:val="left" w:pos="2160"/>
                <w:tab w:val="left" w:pos="2880"/>
                <w:tab w:val="left" w:pos="4502"/>
                <w:tab w:val="left" w:pos="5398"/>
                <w:tab w:val="right" w:pos="8998"/>
              </w:tabs>
              <w:jc w:val="center"/>
              <w:rPr>
                <w:rFonts w:cs="Arial"/>
                <w:szCs w:val="22"/>
              </w:rPr>
            </w:pPr>
            <w:r>
              <w:rPr>
                <w:rFonts w:cs="Arial"/>
                <w:szCs w:val="22"/>
              </w:rPr>
              <w:t>G</w:t>
            </w:r>
          </w:p>
        </w:tc>
        <w:tc>
          <w:tcPr>
            <w:tcW w:w="5079" w:type="dxa"/>
            <w:vAlign w:val="center"/>
          </w:tcPr>
          <w:p w14:paraId="217BAF50" w14:textId="45323C02" w:rsidR="000D5CE4" w:rsidRPr="008C61B1" w:rsidRDefault="00B75D83" w:rsidP="00B75D83">
            <w:pPr>
              <w:spacing w:line="276" w:lineRule="auto"/>
              <w:contextualSpacing/>
              <w:jc w:val="left"/>
              <w:rPr>
                <w:rFonts w:cs="Arial"/>
                <w:szCs w:val="22"/>
              </w:rPr>
            </w:pPr>
            <w:r w:rsidRPr="00A76EC4">
              <w:rPr>
                <w:rFonts w:cs="Arial"/>
                <w:szCs w:val="22"/>
              </w:rPr>
              <w:t>Specification Compliance Grid</w:t>
            </w:r>
          </w:p>
        </w:tc>
        <w:tc>
          <w:tcPr>
            <w:tcW w:w="3118" w:type="dxa"/>
            <w:vAlign w:val="center"/>
          </w:tcPr>
          <w:p w14:paraId="2101505A" w14:textId="3334EE25" w:rsidR="000D5CE4" w:rsidRPr="008C61B1" w:rsidRDefault="00B75D83" w:rsidP="000D5CE4">
            <w:pPr>
              <w:jc w:val="left"/>
              <w:rPr>
                <w:rFonts w:cs="Arial"/>
                <w:szCs w:val="22"/>
              </w:rPr>
            </w:pPr>
            <w:r>
              <w:rPr>
                <w:rFonts w:cs="Arial"/>
                <w:szCs w:val="22"/>
              </w:rPr>
              <w:t>For Completion</w:t>
            </w:r>
          </w:p>
        </w:tc>
      </w:tr>
      <w:tr w:rsidR="005F7644" w:rsidRPr="008C61B1" w14:paraId="589ED24C" w14:textId="77777777" w:rsidTr="005B534D">
        <w:trPr>
          <w:trHeight w:val="566"/>
        </w:trPr>
        <w:tc>
          <w:tcPr>
            <w:tcW w:w="1219" w:type="dxa"/>
            <w:vAlign w:val="center"/>
          </w:tcPr>
          <w:p w14:paraId="16BE9A8D" w14:textId="680EDD65" w:rsidR="005F7644" w:rsidRDefault="005F7644" w:rsidP="000D5CE4">
            <w:pPr>
              <w:tabs>
                <w:tab w:val="left" w:pos="1440"/>
                <w:tab w:val="left" w:pos="2160"/>
                <w:tab w:val="left" w:pos="2880"/>
                <w:tab w:val="left" w:pos="4502"/>
                <w:tab w:val="left" w:pos="5398"/>
                <w:tab w:val="right" w:pos="8998"/>
              </w:tabs>
              <w:jc w:val="center"/>
              <w:rPr>
                <w:rFonts w:cs="Arial"/>
                <w:szCs w:val="22"/>
              </w:rPr>
            </w:pPr>
            <w:r>
              <w:rPr>
                <w:rFonts w:cs="Arial"/>
                <w:szCs w:val="22"/>
              </w:rPr>
              <w:t>H</w:t>
            </w:r>
          </w:p>
        </w:tc>
        <w:tc>
          <w:tcPr>
            <w:tcW w:w="5079" w:type="dxa"/>
            <w:vAlign w:val="center"/>
          </w:tcPr>
          <w:p w14:paraId="293BD47D" w14:textId="2C8DD850" w:rsidR="005F7644" w:rsidRPr="00A76EC4" w:rsidRDefault="005F7644" w:rsidP="00B75D83">
            <w:pPr>
              <w:spacing w:line="276" w:lineRule="auto"/>
              <w:contextualSpacing/>
              <w:jc w:val="left"/>
              <w:rPr>
                <w:rFonts w:cs="Arial"/>
                <w:szCs w:val="22"/>
              </w:rPr>
            </w:pPr>
            <w:r>
              <w:rPr>
                <w:rFonts w:cs="Arial"/>
                <w:szCs w:val="22"/>
              </w:rPr>
              <w:t>Test Plans</w:t>
            </w:r>
          </w:p>
        </w:tc>
        <w:tc>
          <w:tcPr>
            <w:tcW w:w="3118" w:type="dxa"/>
            <w:vAlign w:val="center"/>
          </w:tcPr>
          <w:p w14:paraId="77537AE6" w14:textId="1D504C5A" w:rsidR="005F7644" w:rsidRDefault="005F7644" w:rsidP="000D5CE4">
            <w:pPr>
              <w:jc w:val="left"/>
              <w:rPr>
                <w:rFonts w:cs="Arial"/>
                <w:szCs w:val="22"/>
              </w:rPr>
            </w:pPr>
            <w:r>
              <w:rPr>
                <w:rFonts w:cs="Arial"/>
                <w:szCs w:val="22"/>
              </w:rPr>
              <w:t>For Information</w:t>
            </w:r>
          </w:p>
        </w:tc>
      </w:tr>
      <w:tr w:rsidR="00466826" w:rsidRPr="008C61B1" w14:paraId="00DCB559" w14:textId="77777777" w:rsidTr="005B534D">
        <w:trPr>
          <w:trHeight w:val="566"/>
        </w:trPr>
        <w:tc>
          <w:tcPr>
            <w:tcW w:w="1219" w:type="dxa"/>
            <w:vAlign w:val="center"/>
          </w:tcPr>
          <w:p w14:paraId="7AFF57D0" w14:textId="2E25D97F" w:rsidR="00466826" w:rsidRDefault="00466826" w:rsidP="000D5CE4">
            <w:pPr>
              <w:tabs>
                <w:tab w:val="left" w:pos="1440"/>
                <w:tab w:val="left" w:pos="2160"/>
                <w:tab w:val="left" w:pos="2880"/>
                <w:tab w:val="left" w:pos="4502"/>
                <w:tab w:val="left" w:pos="5398"/>
                <w:tab w:val="right" w:pos="8998"/>
              </w:tabs>
              <w:jc w:val="center"/>
              <w:rPr>
                <w:rFonts w:cs="Arial"/>
                <w:szCs w:val="22"/>
              </w:rPr>
            </w:pPr>
            <w:r>
              <w:rPr>
                <w:rFonts w:cs="Arial"/>
                <w:szCs w:val="22"/>
              </w:rPr>
              <w:t>I</w:t>
            </w:r>
          </w:p>
        </w:tc>
        <w:tc>
          <w:tcPr>
            <w:tcW w:w="5079" w:type="dxa"/>
            <w:vAlign w:val="center"/>
          </w:tcPr>
          <w:p w14:paraId="30D8B5D5" w14:textId="7D159F85" w:rsidR="00466826" w:rsidRDefault="00466826" w:rsidP="00B75D83">
            <w:pPr>
              <w:spacing w:line="276" w:lineRule="auto"/>
              <w:contextualSpacing/>
              <w:jc w:val="left"/>
              <w:rPr>
                <w:rFonts w:cs="Arial"/>
                <w:szCs w:val="22"/>
              </w:rPr>
            </w:pPr>
            <w:r>
              <w:rPr>
                <w:rFonts w:cs="Arial"/>
                <w:szCs w:val="22"/>
              </w:rPr>
              <w:t>Standard KPIs</w:t>
            </w:r>
          </w:p>
        </w:tc>
        <w:tc>
          <w:tcPr>
            <w:tcW w:w="3118" w:type="dxa"/>
            <w:vAlign w:val="center"/>
          </w:tcPr>
          <w:p w14:paraId="04C47C2E" w14:textId="4195BA79" w:rsidR="00466826" w:rsidRDefault="00466826" w:rsidP="000D5CE4">
            <w:pPr>
              <w:jc w:val="left"/>
              <w:rPr>
                <w:rFonts w:cs="Arial"/>
                <w:szCs w:val="22"/>
              </w:rPr>
            </w:pPr>
            <w:r>
              <w:rPr>
                <w:rFonts w:cs="Arial"/>
                <w:szCs w:val="22"/>
              </w:rPr>
              <w:t>For Information</w:t>
            </w:r>
          </w:p>
        </w:tc>
      </w:tr>
    </w:tbl>
    <w:p w14:paraId="6DAE3187" w14:textId="77777777" w:rsidR="0003243A" w:rsidRDefault="0003243A">
      <w:pPr>
        <w:rPr>
          <w:b/>
          <w:sz w:val="24"/>
          <w:szCs w:val="24"/>
        </w:rPr>
      </w:pPr>
      <w:r>
        <w:rPr>
          <w:b/>
          <w:sz w:val="24"/>
          <w:szCs w:val="24"/>
        </w:rPr>
        <w:br w:type="page"/>
      </w:r>
    </w:p>
    <w:p w14:paraId="4EAEEFF8" w14:textId="77777777" w:rsidR="00BD4960" w:rsidRPr="00B764B2" w:rsidRDefault="002413E9" w:rsidP="00BD4960">
      <w:pPr>
        <w:jc w:val="center"/>
        <w:rPr>
          <w:b/>
          <w:sz w:val="24"/>
          <w:szCs w:val="24"/>
        </w:rPr>
      </w:pPr>
      <w:r w:rsidRPr="00B764B2">
        <w:rPr>
          <w:b/>
          <w:sz w:val="24"/>
          <w:szCs w:val="24"/>
        </w:rPr>
        <w:lastRenderedPageBreak/>
        <w:t xml:space="preserve">SECTION 1: </w:t>
      </w:r>
      <w:r w:rsidR="00647100" w:rsidRPr="00B764B2">
        <w:rPr>
          <w:b/>
          <w:sz w:val="24"/>
          <w:szCs w:val="24"/>
        </w:rPr>
        <w:t xml:space="preserve">GENERAL </w:t>
      </w:r>
      <w:r w:rsidRPr="00B764B2">
        <w:rPr>
          <w:b/>
          <w:sz w:val="24"/>
          <w:szCs w:val="24"/>
        </w:rPr>
        <w:t>TENDER INFORMATION</w:t>
      </w:r>
    </w:p>
    <w:p w14:paraId="2838D489" w14:textId="77777777" w:rsidR="002413E9" w:rsidRPr="00B764B2" w:rsidRDefault="002413E9" w:rsidP="00B47F3A">
      <w:pPr>
        <w:rPr>
          <w:b/>
        </w:rPr>
      </w:pPr>
      <w:r w:rsidRPr="00B764B2">
        <w:rPr>
          <w:b/>
        </w:rPr>
        <w:t>GLOSSARY</w:t>
      </w:r>
    </w:p>
    <w:p w14:paraId="273E64A3" w14:textId="77777777" w:rsidR="002413E9" w:rsidRPr="00B764B2" w:rsidRDefault="000248BF" w:rsidP="00091414">
      <w:r w:rsidRPr="00B764B2">
        <w:t>T</w:t>
      </w:r>
      <w:r w:rsidR="002413E9" w:rsidRPr="00B764B2">
        <w:t>he following words and expressions used within this Invitat</w:t>
      </w:r>
      <w:r w:rsidR="003A40EA" w:rsidRPr="00B764B2">
        <w:t>ion T</w:t>
      </w:r>
      <w:r w:rsidRPr="00B764B2">
        <w:t>o Tender (except Appendix C</w:t>
      </w:r>
      <w:r w:rsidR="00091414" w:rsidRPr="00B764B2">
        <w:t xml:space="preserve">: </w:t>
      </w:r>
      <w:r w:rsidR="002413E9" w:rsidRPr="00B764B2">
        <w:t>Authority’s Terms and Conditions) shall have the following meanings (to be interpreted in the singular or plural as the context requires):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5827"/>
      </w:tblGrid>
      <w:tr w:rsidR="002413E9" w:rsidRPr="00B764B2" w14:paraId="3E7B0503" w14:textId="77777777" w:rsidTr="005B534D">
        <w:trPr>
          <w:trHeight w:val="519"/>
        </w:trPr>
        <w:tc>
          <w:tcPr>
            <w:tcW w:w="3082" w:type="dxa"/>
            <w:vAlign w:val="center"/>
          </w:tcPr>
          <w:p w14:paraId="1FA78507" w14:textId="77777777" w:rsidR="002413E9" w:rsidRPr="00B764B2" w:rsidRDefault="002413E9" w:rsidP="00CE6167">
            <w:pPr>
              <w:rPr>
                <w:b/>
              </w:rPr>
            </w:pPr>
            <w:r w:rsidRPr="00B764B2">
              <w:rPr>
                <w:b/>
              </w:rPr>
              <w:t>TERM</w:t>
            </w:r>
          </w:p>
        </w:tc>
        <w:tc>
          <w:tcPr>
            <w:tcW w:w="5827" w:type="dxa"/>
            <w:vAlign w:val="center"/>
          </w:tcPr>
          <w:p w14:paraId="78A71FC7" w14:textId="77777777" w:rsidR="002413E9" w:rsidRPr="00B764B2" w:rsidRDefault="002413E9" w:rsidP="00691496">
            <w:pPr>
              <w:rPr>
                <w:b/>
              </w:rPr>
            </w:pPr>
            <w:r w:rsidRPr="00B764B2">
              <w:rPr>
                <w:b/>
              </w:rPr>
              <w:t>MEANING</w:t>
            </w:r>
          </w:p>
        </w:tc>
      </w:tr>
      <w:tr w:rsidR="002413E9" w:rsidRPr="00B764B2" w14:paraId="7BBE5C5C" w14:textId="77777777" w:rsidTr="005B534D">
        <w:trPr>
          <w:trHeight w:val="710"/>
        </w:trPr>
        <w:tc>
          <w:tcPr>
            <w:tcW w:w="3082" w:type="dxa"/>
            <w:vAlign w:val="center"/>
          </w:tcPr>
          <w:p w14:paraId="107C1757" w14:textId="77777777" w:rsidR="002413E9" w:rsidRPr="00B764B2" w:rsidRDefault="002413E9" w:rsidP="00BD4960">
            <w:pPr>
              <w:jc w:val="left"/>
            </w:pPr>
            <w:r w:rsidRPr="00B764B2">
              <w:t>“Authority”</w:t>
            </w:r>
          </w:p>
        </w:tc>
        <w:tc>
          <w:tcPr>
            <w:tcW w:w="5827" w:type="dxa"/>
            <w:vAlign w:val="center"/>
          </w:tcPr>
          <w:p w14:paraId="03981084" w14:textId="77777777" w:rsidR="002413E9" w:rsidRPr="00B764B2" w:rsidRDefault="002413E9" w:rsidP="00691496">
            <w:r w:rsidRPr="00B764B2">
              <w:t>means Advanced Procurement for Universities and Colleges (APUC) Ltd.</w:t>
            </w:r>
          </w:p>
        </w:tc>
      </w:tr>
      <w:tr w:rsidR="002413E9" w:rsidRPr="00B764B2" w14:paraId="28DB7293" w14:textId="77777777" w:rsidTr="005B534D">
        <w:trPr>
          <w:trHeight w:val="550"/>
        </w:trPr>
        <w:tc>
          <w:tcPr>
            <w:tcW w:w="3082" w:type="dxa"/>
            <w:vAlign w:val="center"/>
          </w:tcPr>
          <w:p w14:paraId="50EA2F68" w14:textId="77777777" w:rsidR="002413E9" w:rsidRPr="00B764B2" w:rsidRDefault="002413E9" w:rsidP="00BD4960">
            <w:pPr>
              <w:jc w:val="left"/>
            </w:pPr>
            <w:r w:rsidRPr="00B764B2">
              <w:t>“e-Tendering System”</w:t>
            </w:r>
          </w:p>
        </w:tc>
        <w:tc>
          <w:tcPr>
            <w:tcW w:w="5827" w:type="dxa"/>
            <w:vAlign w:val="center"/>
          </w:tcPr>
          <w:p w14:paraId="43297788" w14:textId="77777777" w:rsidR="002413E9" w:rsidRPr="00B764B2" w:rsidRDefault="002413E9" w:rsidP="00691496">
            <w:r w:rsidRPr="00B764B2">
              <w:t>means the online portal used for conducting this ITT.</w:t>
            </w:r>
            <w:r w:rsidR="004D5744" w:rsidRPr="00B764B2">
              <w:t xml:space="preserve"> This is </w:t>
            </w:r>
            <w:r w:rsidR="007372E7" w:rsidRPr="00B764B2">
              <w:t>called</w:t>
            </w:r>
            <w:r w:rsidR="004D5744" w:rsidRPr="00B764B2">
              <w:t xml:space="preserve"> </w:t>
            </w:r>
            <w:r w:rsidR="000248BF" w:rsidRPr="00B764B2">
              <w:t>Public Contracts Scotland –Tender (PCS-T)</w:t>
            </w:r>
            <w:r w:rsidR="004D5744" w:rsidRPr="00B764B2">
              <w:t>.</w:t>
            </w:r>
          </w:p>
        </w:tc>
      </w:tr>
      <w:tr w:rsidR="008349FD" w:rsidRPr="00B764B2" w14:paraId="5F2968E5" w14:textId="77777777" w:rsidTr="005B534D">
        <w:trPr>
          <w:trHeight w:val="558"/>
        </w:trPr>
        <w:tc>
          <w:tcPr>
            <w:tcW w:w="3082" w:type="dxa"/>
            <w:vAlign w:val="center"/>
          </w:tcPr>
          <w:p w14:paraId="05C746E6" w14:textId="77777777" w:rsidR="008349FD" w:rsidRPr="00B764B2" w:rsidRDefault="008349FD" w:rsidP="00BD4960">
            <w:pPr>
              <w:jc w:val="left"/>
            </w:pPr>
            <w:r w:rsidRPr="00B764B2">
              <w:t>“Call off Contract”</w:t>
            </w:r>
          </w:p>
        </w:tc>
        <w:tc>
          <w:tcPr>
            <w:tcW w:w="5827" w:type="dxa"/>
            <w:vAlign w:val="center"/>
          </w:tcPr>
          <w:p w14:paraId="48F7A2B2" w14:textId="77777777" w:rsidR="008349FD" w:rsidRPr="00B764B2" w:rsidRDefault="008349FD" w:rsidP="00691496">
            <w:r w:rsidRPr="00B764B2">
              <w:t>means the Co</w:t>
            </w:r>
            <w:r w:rsidR="009F4C58" w:rsidRPr="00B764B2">
              <w:t>ntract (as set out in Appendix C</w:t>
            </w:r>
            <w:r w:rsidRPr="00B764B2">
              <w:t xml:space="preserve"> of the ITT) to be entered into by the </w:t>
            </w:r>
            <w:r w:rsidR="00F0168A" w:rsidRPr="00B764B2">
              <w:t>Institution</w:t>
            </w:r>
            <w:r w:rsidRPr="00B764B2">
              <w:t xml:space="preserve"> and the Contractor followin</w:t>
            </w:r>
            <w:r w:rsidR="00D45F9F" w:rsidRPr="00B764B2">
              <w:t>g award under the Framework Agr</w:t>
            </w:r>
            <w:r w:rsidRPr="00B764B2">
              <w:t>eement.</w:t>
            </w:r>
          </w:p>
        </w:tc>
      </w:tr>
      <w:tr w:rsidR="002413E9" w:rsidRPr="00B764B2" w14:paraId="0D16FCD5" w14:textId="77777777" w:rsidTr="005B534D">
        <w:trPr>
          <w:trHeight w:val="558"/>
        </w:trPr>
        <w:tc>
          <w:tcPr>
            <w:tcW w:w="3082" w:type="dxa"/>
            <w:vAlign w:val="center"/>
          </w:tcPr>
          <w:p w14:paraId="52A9F80D" w14:textId="77777777" w:rsidR="002413E9" w:rsidRPr="00B764B2" w:rsidRDefault="002413E9" w:rsidP="00BD4960">
            <w:pPr>
              <w:jc w:val="left"/>
            </w:pPr>
            <w:r w:rsidRPr="00B764B2">
              <w:t>“Conditions of Tender”</w:t>
            </w:r>
          </w:p>
        </w:tc>
        <w:tc>
          <w:tcPr>
            <w:tcW w:w="5827" w:type="dxa"/>
            <w:vAlign w:val="center"/>
          </w:tcPr>
          <w:p w14:paraId="5D9DE2E9" w14:textId="77777777" w:rsidR="002413E9" w:rsidRPr="00B764B2" w:rsidRDefault="007372E7" w:rsidP="00691496">
            <w:r w:rsidRPr="00B764B2">
              <w:t>means the Terms and C</w:t>
            </w:r>
            <w:r w:rsidR="002413E9" w:rsidRPr="00B764B2">
              <w:t>onditions set out in this ITT relating to the submission of a Tender.</w:t>
            </w:r>
          </w:p>
        </w:tc>
      </w:tr>
      <w:tr w:rsidR="002413E9" w:rsidRPr="00B764B2" w14:paraId="5D5F5624" w14:textId="77777777" w:rsidTr="005B534D">
        <w:tc>
          <w:tcPr>
            <w:tcW w:w="3082" w:type="dxa"/>
            <w:vAlign w:val="center"/>
          </w:tcPr>
          <w:p w14:paraId="45EE3857" w14:textId="77777777" w:rsidR="002413E9" w:rsidRPr="00B764B2" w:rsidRDefault="002413E9" w:rsidP="00BD4960">
            <w:pPr>
              <w:jc w:val="left"/>
            </w:pPr>
            <w:r w:rsidRPr="00B764B2">
              <w:t>“Contractor”</w:t>
            </w:r>
          </w:p>
        </w:tc>
        <w:tc>
          <w:tcPr>
            <w:tcW w:w="5827" w:type="dxa"/>
            <w:vAlign w:val="center"/>
          </w:tcPr>
          <w:p w14:paraId="5EF44DF3" w14:textId="77777777" w:rsidR="002413E9" w:rsidRPr="00B764B2" w:rsidRDefault="002413E9" w:rsidP="00691496">
            <w:r w:rsidRPr="00B764B2">
              <w:t>means the successful Tenderer(s) who will be party to the Framework Agreement</w:t>
            </w:r>
            <w:r w:rsidR="008D75BC" w:rsidRPr="00B764B2">
              <w:t xml:space="preserve"> responsible for supplying the goods and/or services.</w:t>
            </w:r>
          </w:p>
        </w:tc>
      </w:tr>
      <w:tr w:rsidR="002413E9" w:rsidRPr="00B764B2" w14:paraId="261380E9" w14:textId="77777777" w:rsidTr="005B534D">
        <w:tc>
          <w:tcPr>
            <w:tcW w:w="3082" w:type="dxa"/>
            <w:vAlign w:val="center"/>
          </w:tcPr>
          <w:p w14:paraId="2D788E60" w14:textId="77777777" w:rsidR="002413E9" w:rsidRPr="00B764B2" w:rsidRDefault="002413E9" w:rsidP="00BD4960">
            <w:pPr>
              <w:jc w:val="left"/>
            </w:pPr>
            <w:r w:rsidRPr="00B764B2">
              <w:t>“Framework Agreement”</w:t>
            </w:r>
          </w:p>
        </w:tc>
        <w:tc>
          <w:tcPr>
            <w:tcW w:w="5827" w:type="dxa"/>
            <w:vAlign w:val="center"/>
          </w:tcPr>
          <w:p w14:paraId="04FAD6EA" w14:textId="77777777" w:rsidR="002413E9" w:rsidRPr="00B764B2" w:rsidRDefault="007372E7" w:rsidP="00691496">
            <w:r w:rsidRPr="00B764B2">
              <w:t>means the A</w:t>
            </w:r>
            <w:r w:rsidR="002413E9" w:rsidRPr="00B764B2">
              <w:t>gr</w:t>
            </w:r>
            <w:r w:rsidR="000248BF" w:rsidRPr="00B764B2">
              <w:t>eement (as set out in Appendix C</w:t>
            </w:r>
            <w:r w:rsidR="002413E9" w:rsidRPr="00B764B2">
              <w:t xml:space="preserve"> of the ITT) to be entered into by the Authority and the Contractor following any award under the procurement exercise.</w:t>
            </w:r>
          </w:p>
        </w:tc>
      </w:tr>
      <w:tr w:rsidR="00B57328" w:rsidRPr="00B764B2" w14:paraId="697113C3" w14:textId="77777777" w:rsidTr="005B534D">
        <w:tc>
          <w:tcPr>
            <w:tcW w:w="3082" w:type="dxa"/>
            <w:vAlign w:val="center"/>
          </w:tcPr>
          <w:p w14:paraId="5545436F" w14:textId="77777777" w:rsidR="00B57328" w:rsidRPr="00B764B2" w:rsidRDefault="00B57328" w:rsidP="00BD4960">
            <w:pPr>
              <w:jc w:val="left"/>
            </w:pPr>
            <w:r w:rsidRPr="00B764B2">
              <w:t>“</w:t>
            </w:r>
            <w:r w:rsidR="00F0168A" w:rsidRPr="00B764B2">
              <w:t>Institution</w:t>
            </w:r>
            <w:r w:rsidRPr="00B764B2">
              <w:t>s”</w:t>
            </w:r>
          </w:p>
        </w:tc>
        <w:tc>
          <w:tcPr>
            <w:tcW w:w="5827" w:type="dxa"/>
            <w:vAlign w:val="center"/>
          </w:tcPr>
          <w:p w14:paraId="5D38DC87" w14:textId="77777777" w:rsidR="00B57328" w:rsidRPr="00B764B2" w:rsidRDefault="00B57328" w:rsidP="00691496">
            <w:r w:rsidRPr="00B764B2">
              <w:t xml:space="preserve">Means </w:t>
            </w:r>
            <w:r w:rsidR="008349FD" w:rsidRPr="00B764B2">
              <w:t>Scotland’s Universities and Colleges</w:t>
            </w:r>
            <w:r w:rsidR="002D0843" w:rsidRPr="00B764B2">
              <w:t xml:space="preserve"> and associated members and any other Body entitled to call off from this Framework Agreement</w:t>
            </w:r>
          </w:p>
        </w:tc>
      </w:tr>
      <w:tr w:rsidR="002413E9" w:rsidRPr="00B764B2" w14:paraId="3F77C31D" w14:textId="77777777" w:rsidTr="005B534D">
        <w:tc>
          <w:tcPr>
            <w:tcW w:w="3082" w:type="dxa"/>
            <w:vAlign w:val="center"/>
          </w:tcPr>
          <w:p w14:paraId="32100F2F" w14:textId="77777777" w:rsidR="002413E9" w:rsidRPr="00B764B2" w:rsidRDefault="008D75BC" w:rsidP="00BD4960">
            <w:pPr>
              <w:jc w:val="left"/>
            </w:pPr>
            <w:r w:rsidRPr="00B764B2">
              <w:t xml:space="preserve">“Invitation </w:t>
            </w:r>
            <w:r w:rsidR="003A40EA" w:rsidRPr="00B764B2">
              <w:t>T</w:t>
            </w:r>
            <w:r w:rsidRPr="00B764B2">
              <w:t>o Tender” or “ITT”</w:t>
            </w:r>
          </w:p>
        </w:tc>
        <w:tc>
          <w:tcPr>
            <w:tcW w:w="5827" w:type="dxa"/>
            <w:vAlign w:val="center"/>
          </w:tcPr>
          <w:p w14:paraId="2D2354C5" w14:textId="77777777" w:rsidR="002413E9" w:rsidRPr="00B764B2" w:rsidRDefault="008D75BC" w:rsidP="00691496">
            <w:r w:rsidRPr="00B764B2">
              <w:t xml:space="preserve">means this </w:t>
            </w:r>
            <w:r w:rsidR="007372E7" w:rsidRPr="00B764B2">
              <w:t>I</w:t>
            </w:r>
            <w:r w:rsidR="003A40EA" w:rsidRPr="00B764B2">
              <w:t>nvitation To</w:t>
            </w:r>
            <w:r w:rsidR="007372E7" w:rsidRPr="00B764B2">
              <w:t xml:space="preserve"> T</w:t>
            </w:r>
            <w:r w:rsidRPr="00B764B2">
              <w:t>ender</w:t>
            </w:r>
            <w:r w:rsidR="007372E7" w:rsidRPr="00B764B2">
              <w:t xml:space="preserve"> (ITT)</w:t>
            </w:r>
            <w:r w:rsidRPr="00B764B2">
              <w:t xml:space="preserve"> document and all related documents published by the Authority and made available to Tenderers.</w:t>
            </w:r>
          </w:p>
        </w:tc>
      </w:tr>
      <w:tr w:rsidR="002413E9" w:rsidRPr="00B764B2" w14:paraId="7E6AE563" w14:textId="77777777" w:rsidTr="005B534D">
        <w:tc>
          <w:tcPr>
            <w:tcW w:w="3082" w:type="dxa"/>
            <w:vAlign w:val="center"/>
          </w:tcPr>
          <w:p w14:paraId="7084F631" w14:textId="77777777" w:rsidR="002413E9" w:rsidRPr="00B764B2" w:rsidRDefault="008D75BC" w:rsidP="00BD4960">
            <w:pPr>
              <w:jc w:val="left"/>
            </w:pPr>
            <w:r w:rsidRPr="00B764B2">
              <w:t>“Lot”</w:t>
            </w:r>
          </w:p>
        </w:tc>
        <w:tc>
          <w:tcPr>
            <w:tcW w:w="5827" w:type="dxa"/>
            <w:vAlign w:val="center"/>
          </w:tcPr>
          <w:p w14:paraId="37E59AA8" w14:textId="77777777" w:rsidR="002413E9" w:rsidRPr="00B764B2" w:rsidRDefault="008D75BC" w:rsidP="00691496">
            <w:r w:rsidRPr="00B764B2">
              <w:t>means a discrete sub-division of the Authority’s requirements.</w:t>
            </w:r>
          </w:p>
        </w:tc>
      </w:tr>
      <w:tr w:rsidR="002413E9" w:rsidRPr="00B764B2" w14:paraId="1B039AFB" w14:textId="77777777" w:rsidTr="005B534D">
        <w:tc>
          <w:tcPr>
            <w:tcW w:w="3082" w:type="dxa"/>
            <w:vAlign w:val="center"/>
          </w:tcPr>
          <w:p w14:paraId="65EEF64E" w14:textId="77777777" w:rsidR="002413E9" w:rsidRPr="00B764B2" w:rsidRDefault="008D75BC" w:rsidP="00BD4960">
            <w:pPr>
              <w:jc w:val="left"/>
            </w:pPr>
            <w:r w:rsidRPr="00B764B2">
              <w:t>“OJEU Notice”</w:t>
            </w:r>
          </w:p>
        </w:tc>
        <w:tc>
          <w:tcPr>
            <w:tcW w:w="5827" w:type="dxa"/>
            <w:vAlign w:val="center"/>
          </w:tcPr>
          <w:p w14:paraId="1B6C0B8B" w14:textId="77777777" w:rsidR="002413E9" w:rsidRPr="00B764B2" w:rsidRDefault="008D75BC" w:rsidP="00691496">
            <w:r w:rsidRPr="00B764B2">
              <w:t>means the advertisement issued in the Official Journal of the European Union in respect of this ITT.</w:t>
            </w:r>
          </w:p>
        </w:tc>
      </w:tr>
      <w:tr w:rsidR="002413E9" w:rsidRPr="00B764B2" w14:paraId="7A840C99" w14:textId="77777777" w:rsidTr="005B534D">
        <w:trPr>
          <w:trHeight w:val="331"/>
        </w:trPr>
        <w:tc>
          <w:tcPr>
            <w:tcW w:w="3082" w:type="dxa"/>
            <w:vAlign w:val="center"/>
          </w:tcPr>
          <w:p w14:paraId="745D4D99" w14:textId="77777777" w:rsidR="002413E9" w:rsidRPr="00B764B2" w:rsidRDefault="008D75BC" w:rsidP="00BD4960">
            <w:pPr>
              <w:jc w:val="left"/>
            </w:pPr>
            <w:r w:rsidRPr="00B764B2">
              <w:t>“Regulations”</w:t>
            </w:r>
          </w:p>
        </w:tc>
        <w:tc>
          <w:tcPr>
            <w:tcW w:w="5827" w:type="dxa"/>
            <w:vAlign w:val="center"/>
          </w:tcPr>
          <w:p w14:paraId="3A76CC2F" w14:textId="77777777" w:rsidR="002413E9" w:rsidRPr="00B764B2" w:rsidRDefault="000248BF" w:rsidP="00D33298">
            <w:r w:rsidRPr="00B764B2">
              <w:t xml:space="preserve">means </w:t>
            </w:r>
            <w:r w:rsidR="00F23164" w:rsidRPr="00B764B2">
              <w:t xml:space="preserve">The Public Contracts (Scotland) Regulations </w:t>
            </w:r>
            <w:r w:rsidR="00E33EDA" w:rsidRPr="00B764B2">
              <w:t>2015</w:t>
            </w:r>
            <w:r w:rsidR="0005636A" w:rsidRPr="00B764B2">
              <w:t xml:space="preserve">, Procurement Reform Act 2014 and </w:t>
            </w:r>
            <w:r w:rsidR="00D33298" w:rsidRPr="00B764B2">
              <w:t xml:space="preserve">The </w:t>
            </w:r>
            <w:r w:rsidR="0005636A" w:rsidRPr="00B764B2">
              <w:t xml:space="preserve">Procurement </w:t>
            </w:r>
            <w:r w:rsidR="00D33298" w:rsidRPr="00B764B2">
              <w:t>(</w:t>
            </w:r>
            <w:r w:rsidR="0005636A" w:rsidRPr="00B764B2">
              <w:t>Scotland</w:t>
            </w:r>
            <w:r w:rsidR="00D33298" w:rsidRPr="00B764B2">
              <w:t xml:space="preserve">) </w:t>
            </w:r>
            <w:r w:rsidR="0005636A" w:rsidRPr="00B764B2">
              <w:t>Regulations 2016.</w:t>
            </w:r>
          </w:p>
        </w:tc>
      </w:tr>
      <w:tr w:rsidR="00167373" w:rsidRPr="00B764B2" w14:paraId="695672FB" w14:textId="77777777" w:rsidTr="005B534D">
        <w:trPr>
          <w:trHeight w:val="563"/>
        </w:trPr>
        <w:tc>
          <w:tcPr>
            <w:tcW w:w="3082" w:type="dxa"/>
            <w:vAlign w:val="center"/>
          </w:tcPr>
          <w:p w14:paraId="3E358F16" w14:textId="0D288129" w:rsidR="00167373" w:rsidRPr="00B764B2" w:rsidRDefault="00167373" w:rsidP="00BD4960">
            <w:pPr>
              <w:jc w:val="left"/>
            </w:pPr>
            <w:r>
              <w:t>“Vanguard” or “Vanguard Institutions”</w:t>
            </w:r>
          </w:p>
        </w:tc>
        <w:tc>
          <w:tcPr>
            <w:tcW w:w="5827" w:type="dxa"/>
            <w:vAlign w:val="center"/>
          </w:tcPr>
          <w:p w14:paraId="27BF1A08" w14:textId="0178A2C6" w:rsidR="00167373" w:rsidRPr="00B764B2" w:rsidRDefault="00167373" w:rsidP="00167373">
            <w:r>
              <w:t xml:space="preserve">means the lead Institution to Call-Off the Framework Agreement </w:t>
            </w:r>
          </w:p>
        </w:tc>
      </w:tr>
      <w:tr w:rsidR="002413E9" w:rsidRPr="00B764B2" w14:paraId="16DCAF8C" w14:textId="77777777" w:rsidTr="005B534D">
        <w:trPr>
          <w:trHeight w:val="563"/>
        </w:trPr>
        <w:tc>
          <w:tcPr>
            <w:tcW w:w="3082" w:type="dxa"/>
            <w:vAlign w:val="center"/>
          </w:tcPr>
          <w:p w14:paraId="36E44E81" w14:textId="77777777" w:rsidR="002413E9" w:rsidRPr="00B764B2" w:rsidRDefault="008D75BC" w:rsidP="00BD4960">
            <w:pPr>
              <w:jc w:val="left"/>
            </w:pPr>
            <w:r w:rsidRPr="00B764B2">
              <w:t>“Tender Response(s), or “ITT Response”</w:t>
            </w:r>
          </w:p>
        </w:tc>
        <w:tc>
          <w:tcPr>
            <w:tcW w:w="5827" w:type="dxa"/>
            <w:vAlign w:val="center"/>
          </w:tcPr>
          <w:p w14:paraId="6FA48DB1" w14:textId="77777777" w:rsidR="002413E9" w:rsidRPr="00B764B2" w:rsidRDefault="008D75BC" w:rsidP="00691496">
            <w:r w:rsidRPr="00B764B2">
              <w:t>means a Tenderer’s formal offer in response to this ITT</w:t>
            </w:r>
          </w:p>
        </w:tc>
      </w:tr>
      <w:tr w:rsidR="008D75BC" w:rsidRPr="00B764B2" w14:paraId="3F7AD9B6" w14:textId="77777777" w:rsidTr="005B534D">
        <w:trPr>
          <w:trHeight w:val="401"/>
        </w:trPr>
        <w:tc>
          <w:tcPr>
            <w:tcW w:w="3082" w:type="dxa"/>
            <w:vAlign w:val="center"/>
          </w:tcPr>
          <w:p w14:paraId="2B47453C" w14:textId="77777777" w:rsidR="008D75BC" w:rsidRPr="00B764B2" w:rsidRDefault="008D75BC" w:rsidP="00CE6167">
            <w:r w:rsidRPr="00B764B2">
              <w:t>“Tenderers”</w:t>
            </w:r>
          </w:p>
        </w:tc>
        <w:tc>
          <w:tcPr>
            <w:tcW w:w="5827" w:type="dxa"/>
            <w:vAlign w:val="center"/>
          </w:tcPr>
          <w:p w14:paraId="6837CB30" w14:textId="77777777" w:rsidR="008D75BC" w:rsidRPr="00B764B2" w:rsidRDefault="008D75BC" w:rsidP="00691496">
            <w:r w:rsidRPr="00B764B2">
              <w:t>means the organisations responding to this ITT.</w:t>
            </w:r>
          </w:p>
        </w:tc>
      </w:tr>
    </w:tbl>
    <w:p w14:paraId="66FEFCD2" w14:textId="77777777" w:rsidR="002413E9" w:rsidRPr="00F27A2E" w:rsidRDefault="004D5744" w:rsidP="0069432E">
      <w:pPr>
        <w:pStyle w:val="Heading1"/>
      </w:pPr>
      <w:bookmarkStart w:id="1" w:name="_General"/>
      <w:bookmarkEnd w:id="1"/>
      <w:r w:rsidRPr="00F27A2E">
        <w:t>General</w:t>
      </w:r>
    </w:p>
    <w:p w14:paraId="5F35FF18" w14:textId="1308B7A4" w:rsidR="004F0169" w:rsidRPr="00B764B2" w:rsidRDefault="009237F7" w:rsidP="00C8002D">
      <w:pPr>
        <w:pStyle w:val="Heading2"/>
      </w:pPr>
      <w:r w:rsidRPr="00B764B2">
        <w:t xml:space="preserve">The Authority is seeking to appoint a Contractor for the supply </w:t>
      </w:r>
      <w:r w:rsidR="004F0169">
        <w:t>of a Virtual Learning Environment</w:t>
      </w:r>
      <w:r w:rsidRPr="00B764B2">
        <w:t xml:space="preserve"> </w:t>
      </w:r>
      <w:r w:rsidR="001A0FE6">
        <w:t xml:space="preserve">(VLE) </w:t>
      </w:r>
      <w:r w:rsidRPr="00B764B2">
        <w:t>and associated services</w:t>
      </w:r>
      <w:r w:rsidR="004F0169">
        <w:t>,</w:t>
      </w:r>
      <w:r w:rsidRPr="00B764B2">
        <w:t xml:space="preserve"> to the higher education (HE) institutions and further education (FE) institutions, </w:t>
      </w:r>
      <w:r w:rsidR="00CC0D87" w:rsidRPr="00B764B2">
        <w:t>of</w:t>
      </w:r>
      <w:r w:rsidRPr="00B764B2">
        <w:t xml:space="preserve"> Scotland</w:t>
      </w:r>
      <w:r w:rsidR="004F0169">
        <w:t>.</w:t>
      </w:r>
    </w:p>
    <w:p w14:paraId="3CCDD977" w14:textId="29E0BE33" w:rsidR="00547973" w:rsidRPr="00547973" w:rsidRDefault="004D5744" w:rsidP="00547973">
      <w:pPr>
        <w:pStyle w:val="Heading2"/>
      </w:pPr>
      <w:r w:rsidRPr="00B764B2">
        <w:t xml:space="preserve">The Authority is using an e-Tendering System for </w:t>
      </w:r>
      <w:r w:rsidR="006E484C">
        <w:t>this procurement exercise. The S</w:t>
      </w:r>
      <w:r w:rsidRPr="00B764B2">
        <w:t xml:space="preserve">ystem is called </w:t>
      </w:r>
      <w:r w:rsidR="000248BF" w:rsidRPr="00B764B2">
        <w:t>Public Contract Scotland-Tender (PCS-T) an</w:t>
      </w:r>
      <w:r w:rsidRPr="00B764B2">
        <w:t>d can be accessed via the Procurement Contracts Scotland (PCS) website. The ITT is only available in electronic form which can be accessed via your web browser.</w:t>
      </w:r>
      <w:r w:rsidR="000248BF" w:rsidRPr="00B764B2">
        <w:t xml:space="preserve"> No hard copies will be accepted.</w:t>
      </w:r>
    </w:p>
    <w:p w14:paraId="44C351AD" w14:textId="77777777" w:rsidR="00014AEF" w:rsidRPr="00B764B2" w:rsidRDefault="004D5744" w:rsidP="00C8002D">
      <w:pPr>
        <w:pStyle w:val="Heading2"/>
      </w:pPr>
      <w:r w:rsidRPr="00B764B2">
        <w:t>This ITT is being carried out in accordance with the open procedure as set out in the Regulations which implement Directive 20</w:t>
      </w:r>
      <w:r w:rsidR="00F23164" w:rsidRPr="00B764B2">
        <w:t>1</w:t>
      </w:r>
      <w:r w:rsidRPr="00B764B2">
        <w:t>4/</w:t>
      </w:r>
      <w:r w:rsidR="00F23164" w:rsidRPr="00B764B2">
        <w:t>24</w:t>
      </w:r>
      <w:r w:rsidRPr="00B764B2">
        <w:t>/E</w:t>
      </w:r>
      <w:r w:rsidR="00F23164" w:rsidRPr="00B764B2">
        <w:t>U</w:t>
      </w:r>
      <w:r w:rsidRPr="00B764B2">
        <w:t>.</w:t>
      </w:r>
    </w:p>
    <w:p w14:paraId="14213377" w14:textId="77777777" w:rsidR="00014AEF" w:rsidRPr="00B764B2" w:rsidRDefault="004D5744" w:rsidP="00C8002D">
      <w:pPr>
        <w:pStyle w:val="Heading2"/>
      </w:pPr>
      <w:r w:rsidRPr="00B764B2">
        <w:t xml:space="preserve">Tenderers are required to complete the Online </w:t>
      </w:r>
      <w:r w:rsidR="00115FC9" w:rsidRPr="00B764B2">
        <w:t>Qualification</w:t>
      </w:r>
      <w:r w:rsidR="00D33298" w:rsidRPr="00B764B2">
        <w:t xml:space="preserve"> (ESPD)</w:t>
      </w:r>
      <w:r w:rsidR="00115FC9" w:rsidRPr="00B764B2">
        <w:t xml:space="preserve">, </w:t>
      </w:r>
      <w:r w:rsidRPr="00B764B2">
        <w:t>Technical</w:t>
      </w:r>
      <w:r w:rsidR="00115FC9" w:rsidRPr="00B764B2">
        <w:t xml:space="preserve"> and Commercial</w:t>
      </w:r>
      <w:r w:rsidRPr="00B764B2">
        <w:t xml:space="preserve"> Questionnaire</w:t>
      </w:r>
      <w:r w:rsidR="007372E7" w:rsidRPr="00B764B2">
        <w:t>s</w:t>
      </w:r>
      <w:r w:rsidR="00D82F47" w:rsidRPr="00B764B2">
        <w:t xml:space="preserve"> on </w:t>
      </w:r>
      <w:r w:rsidR="00115FC9" w:rsidRPr="00B764B2">
        <w:t xml:space="preserve">PCS-T </w:t>
      </w:r>
      <w:r w:rsidRPr="00B764B2">
        <w:t>(</w:t>
      </w:r>
      <w:r w:rsidR="00115FC9" w:rsidRPr="00B764B2">
        <w:t xml:space="preserve">Qualification, </w:t>
      </w:r>
      <w:r w:rsidRPr="00B764B2">
        <w:t>Technical</w:t>
      </w:r>
      <w:r w:rsidR="00115FC9" w:rsidRPr="00B764B2">
        <w:t xml:space="preserve"> and Commercial</w:t>
      </w:r>
      <w:r w:rsidRPr="00B764B2">
        <w:t xml:space="preserve"> Questionnaire tab at the left hand side of the screen)</w:t>
      </w:r>
      <w:r w:rsidR="00D82F47" w:rsidRPr="00B764B2">
        <w:t xml:space="preserve"> in accordance with </w:t>
      </w:r>
      <w:r w:rsidR="00115FC9" w:rsidRPr="00B764B2">
        <w:t>the instructions in this ITT and relevant Appendices.</w:t>
      </w:r>
      <w:r w:rsidR="00D82F47" w:rsidRPr="00B764B2">
        <w:t xml:space="preserve"> These documents are located in the “</w:t>
      </w:r>
      <w:r w:rsidR="00B71EA8" w:rsidRPr="00B764B2">
        <w:t>Attachments” tab</w:t>
      </w:r>
      <w:r w:rsidR="00D82F47" w:rsidRPr="00B764B2">
        <w:t>.</w:t>
      </w:r>
    </w:p>
    <w:p w14:paraId="58C018FF" w14:textId="77777777" w:rsidR="00014AEF" w:rsidRPr="00B764B2" w:rsidRDefault="00D82F47" w:rsidP="00C8002D">
      <w:pPr>
        <w:pStyle w:val="Heading2"/>
      </w:pPr>
      <w:r w:rsidRPr="00B764B2">
        <w:t>The information contained in the ITT is designed to ensure that completed Tender Responses are given equal and fair consideration. It is important that Tenderers provide all the information asked for in the format and order specified.</w:t>
      </w:r>
    </w:p>
    <w:p w14:paraId="5C8BD463" w14:textId="77777777" w:rsidR="00014AEF" w:rsidRPr="00B764B2" w:rsidRDefault="00D82F47" w:rsidP="00C8002D">
      <w:pPr>
        <w:pStyle w:val="Heading2"/>
      </w:pPr>
      <w:r w:rsidRPr="00B764B2">
        <w:t xml:space="preserve">Tenderers should read the ITT carefully before submitting a Tender Response. Failure to comply with the instructions for completion and submission of a Tender Response will result in elimination from the procurement exercise. </w:t>
      </w:r>
    </w:p>
    <w:p w14:paraId="7B5FCD6D" w14:textId="77777777" w:rsidR="004D5744" w:rsidRPr="00B764B2" w:rsidRDefault="00D82F47" w:rsidP="00C8002D">
      <w:pPr>
        <w:pStyle w:val="Heading2"/>
      </w:pPr>
      <w:r w:rsidRPr="00B764B2">
        <w:t>Tenderers must note that</w:t>
      </w:r>
      <w:r w:rsidR="005D679C" w:rsidRPr="00B764B2">
        <w:t xml:space="preserve"> being awarded a place on the Framework Agreement does not</w:t>
      </w:r>
      <w:r w:rsidRPr="00B764B2">
        <w:t xml:space="preserve"> guarantee </w:t>
      </w:r>
      <w:r w:rsidR="005D679C" w:rsidRPr="00B764B2">
        <w:t>d</w:t>
      </w:r>
      <w:r w:rsidRPr="00B764B2">
        <w:t>emand or</w:t>
      </w:r>
      <w:r w:rsidR="005D679C" w:rsidRPr="00B764B2">
        <w:t xml:space="preserve"> any commitment from </w:t>
      </w:r>
      <w:r w:rsidR="00F0168A" w:rsidRPr="00B764B2">
        <w:t>Institution</w:t>
      </w:r>
      <w:r w:rsidR="005D679C" w:rsidRPr="00B764B2">
        <w:t xml:space="preserve">s to use the </w:t>
      </w:r>
      <w:r w:rsidRPr="00B764B2">
        <w:t>Framework Agreement.</w:t>
      </w:r>
      <w:r w:rsidR="005D679C" w:rsidRPr="00B764B2">
        <w:t xml:space="preserve"> However,</w:t>
      </w:r>
      <w:r w:rsidRPr="00B764B2">
        <w:t xml:space="preserve"> Framework Agreements are created on a collaborative basis with user input f</w:t>
      </w:r>
      <w:r w:rsidR="00C54C71" w:rsidRPr="00B764B2">
        <w:t xml:space="preserve">rom </w:t>
      </w:r>
      <w:r w:rsidR="00F0168A" w:rsidRPr="00B764B2">
        <w:t>Institution</w:t>
      </w:r>
      <w:r w:rsidRPr="00B764B2">
        <w:t xml:space="preserve">s to ensure </w:t>
      </w:r>
      <w:r w:rsidR="00E812FD" w:rsidRPr="00B764B2">
        <w:t>users’</w:t>
      </w:r>
      <w:r w:rsidRPr="00B764B2">
        <w:t xml:space="preserve"> needs and requirem</w:t>
      </w:r>
      <w:r w:rsidR="00066F9D" w:rsidRPr="00B764B2">
        <w:t xml:space="preserve">ents are being met. </w:t>
      </w:r>
    </w:p>
    <w:p w14:paraId="2558CB48" w14:textId="09837847" w:rsidR="00066F9D" w:rsidRPr="00B764B2" w:rsidRDefault="00547973" w:rsidP="00C8002D">
      <w:pPr>
        <w:pStyle w:val="Heading2"/>
      </w:pPr>
      <w:r>
        <w:rPr>
          <w:rFonts w:cs="Arial"/>
          <w:szCs w:val="22"/>
        </w:rPr>
        <w:t xml:space="preserve">The Authority </w:t>
      </w:r>
      <w:r w:rsidRPr="00EB5214">
        <w:rPr>
          <w:rFonts w:cs="Arial"/>
          <w:szCs w:val="22"/>
        </w:rPr>
        <w:t>Terms</w:t>
      </w:r>
      <w:r>
        <w:rPr>
          <w:rFonts w:cs="Arial"/>
          <w:szCs w:val="22"/>
        </w:rPr>
        <w:t xml:space="preserve"> and Conditions as referenced</w:t>
      </w:r>
      <w:r w:rsidRPr="00EB5214">
        <w:rPr>
          <w:rFonts w:cs="Arial"/>
          <w:szCs w:val="22"/>
        </w:rPr>
        <w:t xml:space="preserve"> in this document shall prevail for the period of the Fram</w:t>
      </w:r>
      <w:r>
        <w:rPr>
          <w:rFonts w:cs="Arial"/>
          <w:szCs w:val="22"/>
        </w:rPr>
        <w:t>ework Agreement and apply to</w:t>
      </w:r>
      <w:r w:rsidRPr="00EB5214">
        <w:rPr>
          <w:rFonts w:cs="Arial"/>
          <w:szCs w:val="22"/>
        </w:rPr>
        <w:t xml:space="preserve"> call-off contracts.</w:t>
      </w:r>
      <w:r>
        <w:rPr>
          <w:rFonts w:cs="Arial"/>
          <w:szCs w:val="22"/>
        </w:rPr>
        <w:t xml:space="preserve"> The Terms and Conditions are standard and any proposed exceptional changes must be submitted with the tender response as </w:t>
      </w:r>
      <w:r w:rsidRPr="005D1384">
        <w:rPr>
          <w:rFonts w:cs="Arial"/>
          <w:szCs w:val="22"/>
          <w:u w:val="single"/>
        </w:rPr>
        <w:t>no</w:t>
      </w:r>
      <w:r>
        <w:rPr>
          <w:rFonts w:cs="Arial"/>
          <w:szCs w:val="22"/>
        </w:rPr>
        <w:t xml:space="preserve"> changes will be accepted after this date.  Changes will only be accepted at the discretion of the Authority.</w:t>
      </w:r>
      <w:r w:rsidR="00DC5103" w:rsidRPr="00B764B2">
        <w:br w:type="page"/>
      </w:r>
      <w:r w:rsidR="00066F9D" w:rsidRPr="00B764B2">
        <w:t xml:space="preserve">Proposed Timetable </w:t>
      </w:r>
    </w:p>
    <w:p w14:paraId="5A7B4639" w14:textId="77777777" w:rsidR="004D5744" w:rsidRPr="00B764B2" w:rsidRDefault="004D5744" w:rsidP="00CE6167"/>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9"/>
        <w:gridCol w:w="3834"/>
      </w:tblGrid>
      <w:tr w:rsidR="00066F9D" w:rsidRPr="00B764B2" w14:paraId="19A214B9" w14:textId="77777777" w:rsidTr="00D33298">
        <w:trPr>
          <w:trHeight w:val="544"/>
        </w:trPr>
        <w:tc>
          <w:tcPr>
            <w:tcW w:w="5659" w:type="dxa"/>
            <w:shd w:val="clear" w:color="auto" w:fill="CCC0D9" w:themeFill="accent4" w:themeFillTint="66"/>
            <w:vAlign w:val="center"/>
          </w:tcPr>
          <w:p w14:paraId="4641D3F8" w14:textId="77777777" w:rsidR="00066F9D" w:rsidRPr="00B764B2" w:rsidRDefault="00066F9D" w:rsidP="00CE6167">
            <w:pPr>
              <w:rPr>
                <w:b/>
              </w:rPr>
            </w:pPr>
            <w:r w:rsidRPr="00B764B2">
              <w:rPr>
                <w:b/>
              </w:rPr>
              <w:t>PROCUREMENT ACTIVITY</w:t>
            </w:r>
          </w:p>
        </w:tc>
        <w:tc>
          <w:tcPr>
            <w:tcW w:w="3834" w:type="dxa"/>
            <w:shd w:val="clear" w:color="auto" w:fill="CCC0D9" w:themeFill="accent4" w:themeFillTint="66"/>
            <w:vAlign w:val="center"/>
          </w:tcPr>
          <w:p w14:paraId="666DB412" w14:textId="77777777" w:rsidR="00066F9D" w:rsidRPr="00B764B2" w:rsidRDefault="00066F9D" w:rsidP="00B47F3A">
            <w:pPr>
              <w:jc w:val="left"/>
              <w:rPr>
                <w:b/>
              </w:rPr>
            </w:pPr>
            <w:r w:rsidRPr="00B764B2">
              <w:rPr>
                <w:b/>
              </w:rPr>
              <w:t>DATE</w:t>
            </w:r>
          </w:p>
        </w:tc>
      </w:tr>
      <w:tr w:rsidR="00240B20" w:rsidRPr="00B764B2" w14:paraId="45A9A7FC" w14:textId="77777777" w:rsidTr="00D33298">
        <w:trPr>
          <w:trHeight w:val="425"/>
        </w:trPr>
        <w:tc>
          <w:tcPr>
            <w:tcW w:w="5659" w:type="dxa"/>
            <w:vAlign w:val="center"/>
          </w:tcPr>
          <w:p w14:paraId="7A01AC2F" w14:textId="77777777" w:rsidR="00240B20" w:rsidRPr="00B764B2" w:rsidRDefault="00240B20" w:rsidP="00194F5B">
            <w:pPr>
              <w:jc w:val="left"/>
              <w:rPr>
                <w:sz w:val="21"/>
                <w:szCs w:val="21"/>
              </w:rPr>
            </w:pPr>
            <w:r w:rsidRPr="00B764B2">
              <w:rPr>
                <w:sz w:val="21"/>
                <w:szCs w:val="21"/>
              </w:rPr>
              <w:t>PIN published</w:t>
            </w:r>
            <w:r w:rsidR="00E812FD" w:rsidRPr="00B764B2">
              <w:rPr>
                <w:sz w:val="21"/>
                <w:szCs w:val="21"/>
              </w:rPr>
              <w:t xml:space="preserve"> on PCS portal</w:t>
            </w:r>
          </w:p>
        </w:tc>
        <w:tc>
          <w:tcPr>
            <w:tcW w:w="3834" w:type="dxa"/>
            <w:vAlign w:val="center"/>
          </w:tcPr>
          <w:p w14:paraId="2D378302" w14:textId="085DEBC9" w:rsidR="00240B20" w:rsidRPr="00B764B2" w:rsidRDefault="00AB59AC" w:rsidP="00AB59AC">
            <w:pPr>
              <w:jc w:val="center"/>
              <w:rPr>
                <w:sz w:val="21"/>
                <w:szCs w:val="21"/>
              </w:rPr>
            </w:pPr>
            <w:r>
              <w:rPr>
                <w:sz w:val="21"/>
                <w:szCs w:val="21"/>
              </w:rPr>
              <w:t>21</w:t>
            </w:r>
            <w:r w:rsidRPr="00AB59AC">
              <w:rPr>
                <w:sz w:val="21"/>
                <w:szCs w:val="21"/>
                <w:vertAlign w:val="superscript"/>
              </w:rPr>
              <w:t>st</w:t>
            </w:r>
            <w:r>
              <w:rPr>
                <w:sz w:val="21"/>
                <w:szCs w:val="21"/>
              </w:rPr>
              <w:t xml:space="preserve"> March 2016</w:t>
            </w:r>
          </w:p>
        </w:tc>
      </w:tr>
      <w:tr w:rsidR="00CD22EA" w:rsidRPr="00B764B2" w14:paraId="233FFD0A" w14:textId="77777777" w:rsidTr="00D33298">
        <w:trPr>
          <w:trHeight w:val="425"/>
        </w:trPr>
        <w:tc>
          <w:tcPr>
            <w:tcW w:w="5659" w:type="dxa"/>
            <w:vAlign w:val="center"/>
          </w:tcPr>
          <w:p w14:paraId="189E5A99" w14:textId="77777777" w:rsidR="00CD22EA" w:rsidRPr="00B764B2" w:rsidRDefault="00CD22EA" w:rsidP="00194F5B">
            <w:pPr>
              <w:jc w:val="left"/>
              <w:rPr>
                <w:sz w:val="21"/>
                <w:szCs w:val="21"/>
              </w:rPr>
            </w:pPr>
            <w:r w:rsidRPr="00B764B2">
              <w:rPr>
                <w:sz w:val="21"/>
                <w:szCs w:val="21"/>
              </w:rPr>
              <w:t>Issue OJEU Notice and ITT</w:t>
            </w:r>
          </w:p>
        </w:tc>
        <w:tc>
          <w:tcPr>
            <w:tcW w:w="3834" w:type="dxa"/>
            <w:vAlign w:val="center"/>
          </w:tcPr>
          <w:p w14:paraId="0E065037" w14:textId="41AAEE80" w:rsidR="00CD22EA" w:rsidRPr="00B764B2" w:rsidRDefault="004923F6" w:rsidP="004923F6">
            <w:pPr>
              <w:jc w:val="center"/>
              <w:rPr>
                <w:sz w:val="21"/>
                <w:szCs w:val="21"/>
              </w:rPr>
            </w:pPr>
            <w:r>
              <w:rPr>
                <w:sz w:val="21"/>
                <w:szCs w:val="21"/>
              </w:rPr>
              <w:t>04</w:t>
            </w:r>
            <w:r w:rsidRPr="004923F6">
              <w:rPr>
                <w:sz w:val="21"/>
                <w:szCs w:val="21"/>
                <w:vertAlign w:val="superscript"/>
              </w:rPr>
              <w:t>th</w:t>
            </w:r>
            <w:r>
              <w:rPr>
                <w:sz w:val="21"/>
                <w:szCs w:val="21"/>
              </w:rPr>
              <w:t xml:space="preserve"> November 2016</w:t>
            </w:r>
          </w:p>
        </w:tc>
      </w:tr>
      <w:tr w:rsidR="0085534D" w:rsidRPr="00B764B2" w14:paraId="029F2F5E" w14:textId="77777777" w:rsidTr="00D33298">
        <w:trPr>
          <w:trHeight w:val="403"/>
        </w:trPr>
        <w:tc>
          <w:tcPr>
            <w:tcW w:w="5659" w:type="dxa"/>
            <w:vAlign w:val="center"/>
          </w:tcPr>
          <w:p w14:paraId="73840043" w14:textId="6E2E9ED4" w:rsidR="0085534D" w:rsidRPr="004923F6" w:rsidRDefault="0085534D" w:rsidP="00194F5B">
            <w:pPr>
              <w:jc w:val="left"/>
              <w:rPr>
                <w:sz w:val="21"/>
                <w:szCs w:val="21"/>
              </w:rPr>
            </w:pPr>
            <w:r w:rsidRPr="004923F6">
              <w:rPr>
                <w:sz w:val="21"/>
                <w:szCs w:val="21"/>
              </w:rPr>
              <w:t>Bidders Conference</w:t>
            </w:r>
            <w:r w:rsidR="00822440" w:rsidRPr="004923F6">
              <w:rPr>
                <w:sz w:val="21"/>
                <w:szCs w:val="21"/>
              </w:rPr>
              <w:t xml:space="preserve"> (if required)</w:t>
            </w:r>
          </w:p>
        </w:tc>
        <w:tc>
          <w:tcPr>
            <w:tcW w:w="3834" w:type="dxa"/>
            <w:vAlign w:val="center"/>
          </w:tcPr>
          <w:p w14:paraId="2A0AFD2B" w14:textId="6FA44A1E" w:rsidR="0085534D" w:rsidRPr="00B764B2" w:rsidRDefault="004923F6" w:rsidP="004923F6">
            <w:pPr>
              <w:jc w:val="center"/>
              <w:rPr>
                <w:sz w:val="21"/>
                <w:szCs w:val="21"/>
              </w:rPr>
            </w:pPr>
            <w:r>
              <w:rPr>
                <w:sz w:val="21"/>
                <w:szCs w:val="21"/>
              </w:rPr>
              <w:t>TBC 16</w:t>
            </w:r>
            <w:r w:rsidRPr="004923F6">
              <w:rPr>
                <w:sz w:val="21"/>
                <w:szCs w:val="21"/>
                <w:vertAlign w:val="superscript"/>
              </w:rPr>
              <w:t>th</w:t>
            </w:r>
            <w:r>
              <w:rPr>
                <w:sz w:val="21"/>
                <w:szCs w:val="21"/>
              </w:rPr>
              <w:t xml:space="preserve"> November (provisional)</w:t>
            </w:r>
          </w:p>
        </w:tc>
      </w:tr>
      <w:tr w:rsidR="00CD22EA" w:rsidRPr="00B764B2" w14:paraId="74692EEB" w14:textId="77777777" w:rsidTr="00D33298">
        <w:trPr>
          <w:trHeight w:val="403"/>
        </w:trPr>
        <w:tc>
          <w:tcPr>
            <w:tcW w:w="5659" w:type="dxa"/>
            <w:vAlign w:val="center"/>
          </w:tcPr>
          <w:p w14:paraId="68DB1ECE" w14:textId="77777777" w:rsidR="00CD22EA" w:rsidRPr="00B764B2" w:rsidRDefault="00CD22EA" w:rsidP="00194F5B">
            <w:pPr>
              <w:jc w:val="left"/>
              <w:rPr>
                <w:sz w:val="21"/>
                <w:szCs w:val="21"/>
              </w:rPr>
            </w:pPr>
            <w:r w:rsidRPr="00B764B2">
              <w:rPr>
                <w:sz w:val="21"/>
                <w:szCs w:val="21"/>
              </w:rPr>
              <w:t>Deadline for clarification questions from Tenderers</w:t>
            </w:r>
          </w:p>
        </w:tc>
        <w:tc>
          <w:tcPr>
            <w:tcW w:w="3834" w:type="dxa"/>
            <w:vAlign w:val="center"/>
          </w:tcPr>
          <w:p w14:paraId="3939AB30" w14:textId="6804CF1B" w:rsidR="00CD22EA" w:rsidRPr="00B764B2" w:rsidRDefault="004923F6" w:rsidP="004923F6">
            <w:pPr>
              <w:jc w:val="center"/>
              <w:rPr>
                <w:sz w:val="21"/>
                <w:szCs w:val="21"/>
              </w:rPr>
            </w:pPr>
            <w:r>
              <w:rPr>
                <w:sz w:val="21"/>
                <w:szCs w:val="21"/>
              </w:rPr>
              <w:t>29</w:t>
            </w:r>
            <w:r w:rsidRPr="004923F6">
              <w:rPr>
                <w:sz w:val="21"/>
                <w:szCs w:val="21"/>
                <w:vertAlign w:val="superscript"/>
              </w:rPr>
              <w:t>th</w:t>
            </w:r>
            <w:r>
              <w:rPr>
                <w:sz w:val="21"/>
                <w:szCs w:val="21"/>
              </w:rPr>
              <w:t xml:space="preserve"> November 2016</w:t>
            </w:r>
          </w:p>
        </w:tc>
      </w:tr>
      <w:tr w:rsidR="00CD22EA" w:rsidRPr="00B764B2" w14:paraId="3E42F390" w14:textId="77777777" w:rsidTr="00D33298">
        <w:trPr>
          <w:trHeight w:val="409"/>
        </w:trPr>
        <w:tc>
          <w:tcPr>
            <w:tcW w:w="5659" w:type="dxa"/>
            <w:vAlign w:val="center"/>
          </w:tcPr>
          <w:p w14:paraId="0239EF73" w14:textId="77777777" w:rsidR="00CD22EA" w:rsidRPr="00B764B2" w:rsidRDefault="00CD22EA" w:rsidP="005E2A69">
            <w:pPr>
              <w:jc w:val="left"/>
              <w:rPr>
                <w:sz w:val="21"/>
                <w:szCs w:val="21"/>
              </w:rPr>
            </w:pPr>
            <w:r w:rsidRPr="00B764B2">
              <w:rPr>
                <w:sz w:val="21"/>
                <w:szCs w:val="21"/>
              </w:rPr>
              <w:t xml:space="preserve">Deadline for Authority to respond to </w:t>
            </w:r>
            <w:r w:rsidR="005E2A69" w:rsidRPr="00B764B2">
              <w:rPr>
                <w:sz w:val="21"/>
                <w:szCs w:val="21"/>
              </w:rPr>
              <w:t xml:space="preserve">clarification questions        </w:t>
            </w:r>
          </w:p>
        </w:tc>
        <w:tc>
          <w:tcPr>
            <w:tcW w:w="3834" w:type="dxa"/>
            <w:vAlign w:val="center"/>
          </w:tcPr>
          <w:p w14:paraId="03A3CED8" w14:textId="3DC2D690" w:rsidR="00CD22EA" w:rsidRPr="00B764B2" w:rsidRDefault="004923F6" w:rsidP="004923F6">
            <w:pPr>
              <w:jc w:val="center"/>
              <w:rPr>
                <w:sz w:val="21"/>
                <w:szCs w:val="21"/>
              </w:rPr>
            </w:pPr>
            <w:r>
              <w:rPr>
                <w:sz w:val="21"/>
                <w:szCs w:val="21"/>
              </w:rPr>
              <w:t>01</w:t>
            </w:r>
            <w:r w:rsidRPr="004923F6">
              <w:rPr>
                <w:sz w:val="21"/>
                <w:szCs w:val="21"/>
                <w:vertAlign w:val="superscript"/>
              </w:rPr>
              <w:t>st</w:t>
            </w:r>
            <w:r>
              <w:rPr>
                <w:sz w:val="21"/>
                <w:szCs w:val="21"/>
              </w:rPr>
              <w:t xml:space="preserve"> December 2016</w:t>
            </w:r>
          </w:p>
        </w:tc>
      </w:tr>
      <w:tr w:rsidR="00CD22EA" w:rsidRPr="00B764B2" w14:paraId="07027E01" w14:textId="77777777" w:rsidTr="00D33298">
        <w:trPr>
          <w:trHeight w:val="428"/>
        </w:trPr>
        <w:tc>
          <w:tcPr>
            <w:tcW w:w="5659" w:type="dxa"/>
            <w:vAlign w:val="center"/>
          </w:tcPr>
          <w:p w14:paraId="2986A389" w14:textId="77777777" w:rsidR="00CD22EA" w:rsidRPr="00B764B2" w:rsidRDefault="00CD22EA" w:rsidP="00194F5B">
            <w:pPr>
              <w:jc w:val="left"/>
              <w:rPr>
                <w:sz w:val="21"/>
                <w:szCs w:val="21"/>
              </w:rPr>
            </w:pPr>
            <w:r w:rsidRPr="00B764B2">
              <w:rPr>
                <w:sz w:val="21"/>
                <w:szCs w:val="21"/>
              </w:rPr>
              <w:t>Deadline for Tender Response</w:t>
            </w:r>
          </w:p>
        </w:tc>
        <w:tc>
          <w:tcPr>
            <w:tcW w:w="3834" w:type="dxa"/>
            <w:vAlign w:val="center"/>
          </w:tcPr>
          <w:p w14:paraId="2D3C8D39" w14:textId="5D2244CD" w:rsidR="00CD22EA" w:rsidRPr="00B764B2" w:rsidRDefault="004923F6" w:rsidP="004923F6">
            <w:pPr>
              <w:jc w:val="center"/>
              <w:rPr>
                <w:sz w:val="21"/>
                <w:szCs w:val="21"/>
              </w:rPr>
            </w:pPr>
            <w:r>
              <w:rPr>
                <w:sz w:val="21"/>
                <w:szCs w:val="21"/>
              </w:rPr>
              <w:t>05</w:t>
            </w:r>
            <w:r w:rsidRPr="004923F6">
              <w:rPr>
                <w:sz w:val="21"/>
                <w:szCs w:val="21"/>
              </w:rPr>
              <w:t>th</w:t>
            </w:r>
            <w:r>
              <w:rPr>
                <w:sz w:val="21"/>
                <w:szCs w:val="21"/>
              </w:rPr>
              <w:t xml:space="preserve"> December 2016</w:t>
            </w:r>
          </w:p>
        </w:tc>
      </w:tr>
      <w:tr w:rsidR="00CD22EA" w:rsidRPr="00B764B2" w14:paraId="0233C9F9" w14:textId="77777777" w:rsidTr="00D33298">
        <w:trPr>
          <w:trHeight w:val="407"/>
        </w:trPr>
        <w:tc>
          <w:tcPr>
            <w:tcW w:w="5659" w:type="dxa"/>
            <w:vAlign w:val="center"/>
          </w:tcPr>
          <w:p w14:paraId="05A8ABFB" w14:textId="77777777" w:rsidR="00CD22EA" w:rsidRPr="00B764B2" w:rsidRDefault="00CD22EA" w:rsidP="00194F5B">
            <w:pPr>
              <w:jc w:val="left"/>
              <w:rPr>
                <w:sz w:val="21"/>
                <w:szCs w:val="21"/>
              </w:rPr>
            </w:pPr>
            <w:r w:rsidRPr="00B764B2">
              <w:rPr>
                <w:sz w:val="21"/>
                <w:szCs w:val="21"/>
              </w:rPr>
              <w:t>Evaluation of Tenders</w:t>
            </w:r>
          </w:p>
        </w:tc>
        <w:tc>
          <w:tcPr>
            <w:tcW w:w="3834" w:type="dxa"/>
            <w:vAlign w:val="center"/>
          </w:tcPr>
          <w:p w14:paraId="32DA77D4" w14:textId="2C6160D3" w:rsidR="00CD22EA" w:rsidRPr="00B764B2" w:rsidRDefault="004923F6" w:rsidP="004923F6">
            <w:pPr>
              <w:jc w:val="center"/>
              <w:rPr>
                <w:sz w:val="21"/>
                <w:szCs w:val="21"/>
              </w:rPr>
            </w:pPr>
            <w:r>
              <w:rPr>
                <w:sz w:val="21"/>
                <w:szCs w:val="21"/>
              </w:rPr>
              <w:t>December 2016 – January 2017</w:t>
            </w:r>
          </w:p>
        </w:tc>
      </w:tr>
      <w:tr w:rsidR="00CD22EA" w:rsidRPr="00B764B2" w14:paraId="7BB240E4" w14:textId="77777777" w:rsidTr="00D33298">
        <w:tc>
          <w:tcPr>
            <w:tcW w:w="5659" w:type="dxa"/>
            <w:vAlign w:val="center"/>
          </w:tcPr>
          <w:p w14:paraId="17D813A6" w14:textId="77777777" w:rsidR="00CD22EA" w:rsidRPr="00B764B2" w:rsidRDefault="00CD22EA" w:rsidP="00194F5B">
            <w:pPr>
              <w:jc w:val="left"/>
              <w:rPr>
                <w:sz w:val="21"/>
                <w:szCs w:val="21"/>
              </w:rPr>
            </w:pPr>
            <w:r w:rsidRPr="00B764B2">
              <w:rPr>
                <w:sz w:val="21"/>
                <w:szCs w:val="21"/>
              </w:rPr>
              <w:t>Framework Agreement award notification</w:t>
            </w:r>
          </w:p>
        </w:tc>
        <w:tc>
          <w:tcPr>
            <w:tcW w:w="3834" w:type="dxa"/>
            <w:vAlign w:val="center"/>
          </w:tcPr>
          <w:p w14:paraId="57769801" w14:textId="4A737B67" w:rsidR="00CD22EA" w:rsidRPr="00B764B2" w:rsidRDefault="004923F6" w:rsidP="004923F6">
            <w:pPr>
              <w:jc w:val="center"/>
              <w:rPr>
                <w:sz w:val="21"/>
                <w:szCs w:val="21"/>
              </w:rPr>
            </w:pPr>
            <w:r>
              <w:rPr>
                <w:sz w:val="21"/>
                <w:szCs w:val="21"/>
              </w:rPr>
              <w:t>18</w:t>
            </w:r>
            <w:r w:rsidRPr="004923F6">
              <w:rPr>
                <w:sz w:val="21"/>
                <w:szCs w:val="21"/>
                <w:vertAlign w:val="superscript"/>
              </w:rPr>
              <w:t>th</w:t>
            </w:r>
            <w:r>
              <w:rPr>
                <w:sz w:val="21"/>
                <w:szCs w:val="21"/>
              </w:rPr>
              <w:t xml:space="preserve"> January 2017</w:t>
            </w:r>
          </w:p>
        </w:tc>
      </w:tr>
      <w:tr w:rsidR="00CD22EA" w:rsidRPr="00B764B2" w14:paraId="3E070BE1" w14:textId="77777777" w:rsidTr="004923F6">
        <w:trPr>
          <w:trHeight w:val="607"/>
        </w:trPr>
        <w:tc>
          <w:tcPr>
            <w:tcW w:w="5659" w:type="dxa"/>
            <w:vAlign w:val="center"/>
          </w:tcPr>
          <w:p w14:paraId="00706591" w14:textId="4B51ED51" w:rsidR="00CD22EA" w:rsidRPr="00B764B2" w:rsidRDefault="00CD22EA" w:rsidP="00194F5B">
            <w:pPr>
              <w:jc w:val="left"/>
              <w:rPr>
                <w:sz w:val="21"/>
                <w:szCs w:val="21"/>
              </w:rPr>
            </w:pPr>
            <w:r w:rsidRPr="00B764B2">
              <w:rPr>
                <w:sz w:val="21"/>
                <w:szCs w:val="21"/>
              </w:rPr>
              <w:t>Mandatory standstill period</w:t>
            </w:r>
            <w:r w:rsidR="004923F6">
              <w:rPr>
                <w:sz w:val="21"/>
                <w:szCs w:val="21"/>
              </w:rPr>
              <w:t xml:space="preserve"> ends</w:t>
            </w:r>
          </w:p>
        </w:tc>
        <w:tc>
          <w:tcPr>
            <w:tcW w:w="3834" w:type="dxa"/>
            <w:vAlign w:val="center"/>
          </w:tcPr>
          <w:p w14:paraId="72F50D2A" w14:textId="1C8ECEA9" w:rsidR="00CD22EA" w:rsidRPr="00B764B2" w:rsidRDefault="004923F6" w:rsidP="004923F6">
            <w:pPr>
              <w:jc w:val="center"/>
              <w:rPr>
                <w:sz w:val="21"/>
                <w:szCs w:val="21"/>
              </w:rPr>
            </w:pPr>
            <w:r>
              <w:rPr>
                <w:sz w:val="21"/>
                <w:szCs w:val="21"/>
              </w:rPr>
              <w:t>30</w:t>
            </w:r>
            <w:r w:rsidRPr="004923F6">
              <w:rPr>
                <w:sz w:val="21"/>
                <w:szCs w:val="21"/>
                <w:vertAlign w:val="superscript"/>
              </w:rPr>
              <w:t>th</w:t>
            </w:r>
            <w:r>
              <w:rPr>
                <w:sz w:val="21"/>
                <w:szCs w:val="21"/>
              </w:rPr>
              <w:t xml:space="preserve"> January 2017</w:t>
            </w:r>
          </w:p>
        </w:tc>
      </w:tr>
      <w:tr w:rsidR="00CD22EA" w:rsidRPr="00B764B2" w14:paraId="59ED3924" w14:textId="77777777" w:rsidTr="00D33298">
        <w:tc>
          <w:tcPr>
            <w:tcW w:w="5659" w:type="dxa"/>
            <w:vAlign w:val="center"/>
          </w:tcPr>
          <w:p w14:paraId="2F5F9347" w14:textId="77777777" w:rsidR="00CD22EA" w:rsidRPr="00B764B2" w:rsidRDefault="00CD22EA" w:rsidP="00194F5B">
            <w:pPr>
              <w:jc w:val="left"/>
              <w:rPr>
                <w:sz w:val="21"/>
                <w:szCs w:val="21"/>
              </w:rPr>
            </w:pPr>
            <w:r w:rsidRPr="00B764B2">
              <w:rPr>
                <w:sz w:val="21"/>
                <w:szCs w:val="21"/>
              </w:rPr>
              <w:t>Framework Agreement Award</w:t>
            </w:r>
          </w:p>
        </w:tc>
        <w:tc>
          <w:tcPr>
            <w:tcW w:w="3834" w:type="dxa"/>
            <w:vAlign w:val="center"/>
          </w:tcPr>
          <w:p w14:paraId="00A1CAC9" w14:textId="6B0FCD92" w:rsidR="00CD22EA" w:rsidRPr="00B764B2" w:rsidRDefault="004923F6" w:rsidP="004923F6">
            <w:pPr>
              <w:jc w:val="center"/>
              <w:rPr>
                <w:sz w:val="21"/>
                <w:szCs w:val="21"/>
              </w:rPr>
            </w:pPr>
            <w:r>
              <w:rPr>
                <w:sz w:val="21"/>
                <w:szCs w:val="21"/>
              </w:rPr>
              <w:t>30</w:t>
            </w:r>
            <w:r w:rsidRPr="004923F6">
              <w:rPr>
                <w:sz w:val="21"/>
                <w:szCs w:val="21"/>
                <w:vertAlign w:val="superscript"/>
              </w:rPr>
              <w:t>th</w:t>
            </w:r>
            <w:r>
              <w:rPr>
                <w:sz w:val="21"/>
                <w:szCs w:val="21"/>
              </w:rPr>
              <w:t xml:space="preserve"> January 2017</w:t>
            </w:r>
          </w:p>
        </w:tc>
      </w:tr>
      <w:tr w:rsidR="004923F6" w:rsidRPr="00B764B2" w14:paraId="5C0FE371" w14:textId="77777777" w:rsidTr="00D33298">
        <w:tc>
          <w:tcPr>
            <w:tcW w:w="5659" w:type="dxa"/>
            <w:vAlign w:val="center"/>
          </w:tcPr>
          <w:p w14:paraId="3584B59B" w14:textId="77777777" w:rsidR="004923F6" w:rsidRPr="00B764B2" w:rsidRDefault="004923F6" w:rsidP="00194F5B">
            <w:pPr>
              <w:jc w:val="left"/>
              <w:rPr>
                <w:sz w:val="21"/>
                <w:szCs w:val="21"/>
              </w:rPr>
            </w:pPr>
            <w:r w:rsidRPr="00B764B2">
              <w:rPr>
                <w:sz w:val="21"/>
                <w:szCs w:val="21"/>
              </w:rPr>
              <w:t>Commencement of Framework Agreement</w:t>
            </w:r>
          </w:p>
        </w:tc>
        <w:tc>
          <w:tcPr>
            <w:tcW w:w="3834" w:type="dxa"/>
            <w:vAlign w:val="center"/>
          </w:tcPr>
          <w:p w14:paraId="3F37D5BF" w14:textId="6B3D3B3D" w:rsidR="004923F6" w:rsidRPr="00B764B2" w:rsidRDefault="00547973" w:rsidP="004923F6">
            <w:pPr>
              <w:jc w:val="center"/>
              <w:rPr>
                <w:sz w:val="21"/>
                <w:szCs w:val="21"/>
              </w:rPr>
            </w:pPr>
            <w:r>
              <w:rPr>
                <w:sz w:val="21"/>
                <w:szCs w:val="21"/>
              </w:rPr>
              <w:t>30</w:t>
            </w:r>
            <w:r w:rsidRPr="004923F6">
              <w:rPr>
                <w:sz w:val="21"/>
                <w:szCs w:val="21"/>
                <w:vertAlign w:val="superscript"/>
              </w:rPr>
              <w:t>th</w:t>
            </w:r>
            <w:r>
              <w:rPr>
                <w:sz w:val="21"/>
                <w:szCs w:val="21"/>
              </w:rPr>
              <w:t xml:space="preserve"> January 2017</w:t>
            </w:r>
          </w:p>
        </w:tc>
      </w:tr>
    </w:tbl>
    <w:p w14:paraId="689544D5" w14:textId="77777777" w:rsidR="004D5744" w:rsidRPr="00B764B2" w:rsidRDefault="004D5744" w:rsidP="00CE6167"/>
    <w:p w14:paraId="417E96F7" w14:textId="77777777" w:rsidR="0095383D" w:rsidRPr="00B764B2" w:rsidRDefault="00985F25" w:rsidP="00091414">
      <w:pPr>
        <w:rPr>
          <w:szCs w:val="22"/>
        </w:rPr>
      </w:pPr>
      <w:r w:rsidRPr="00B764B2">
        <w:rPr>
          <w:szCs w:val="22"/>
        </w:rPr>
        <w:t>The proposed timetable is only a guideline. The Authority reserves the right to make any changes it deems necess</w:t>
      </w:r>
      <w:r w:rsidR="00802874">
        <w:rPr>
          <w:szCs w:val="22"/>
        </w:rPr>
        <w:t>ary to the proposed timetable.</w:t>
      </w:r>
    </w:p>
    <w:p w14:paraId="307257AD" w14:textId="77777777" w:rsidR="004D5744" w:rsidRPr="00F27A2E" w:rsidRDefault="00066F9D" w:rsidP="0069432E">
      <w:pPr>
        <w:pStyle w:val="Heading1"/>
      </w:pPr>
      <w:r w:rsidRPr="00F27A2E">
        <w:t>Duration of Framework Agreement</w:t>
      </w:r>
    </w:p>
    <w:p w14:paraId="2D9A4870" w14:textId="77777777" w:rsidR="008B313F" w:rsidRPr="00087657" w:rsidRDefault="0038158A" w:rsidP="00C8002D">
      <w:pPr>
        <w:pStyle w:val="Heading2"/>
      </w:pPr>
      <w:r w:rsidRPr="00087657">
        <w:t xml:space="preserve">The Framework Agreement will commence on the </w:t>
      </w:r>
      <w:r w:rsidR="002A47C7" w:rsidRPr="00B57A6C">
        <w:t>31 January 2017</w:t>
      </w:r>
      <w:r w:rsidRPr="00B57A6C">
        <w:t xml:space="preserve"> for an initial period of 2 years and will expire on the </w:t>
      </w:r>
      <w:r w:rsidR="002A47C7" w:rsidRPr="00B57A6C">
        <w:t>31 January 2019</w:t>
      </w:r>
      <w:r w:rsidR="00F063E2" w:rsidRPr="00B57A6C">
        <w:t>.</w:t>
      </w:r>
      <w:r w:rsidR="00066F9D" w:rsidRPr="00087657">
        <w:t xml:space="preserve">   </w:t>
      </w:r>
      <w:r w:rsidR="005E2A69" w:rsidRPr="00087657">
        <w:tab/>
      </w:r>
    </w:p>
    <w:p w14:paraId="12D9BA32" w14:textId="77777777" w:rsidR="0095383D" w:rsidRPr="00087657" w:rsidRDefault="0038158A" w:rsidP="00C8002D">
      <w:pPr>
        <w:pStyle w:val="Heading2"/>
      </w:pPr>
      <w:r w:rsidRPr="00087657">
        <w:t xml:space="preserve">The Authority reserves the right to extend the Framework Agreement for a further </w:t>
      </w:r>
      <w:r w:rsidRPr="00DE228B">
        <w:t>2 x 12 month periods</w:t>
      </w:r>
      <w:r w:rsidRPr="00087657">
        <w:t xml:space="preserve"> subject to satisfactory performance and continued Institutions requirements.</w:t>
      </w:r>
    </w:p>
    <w:p w14:paraId="45C8CAE8" w14:textId="77777777" w:rsidR="007C76A3" w:rsidRPr="00087657" w:rsidRDefault="007C76A3" w:rsidP="0069432E">
      <w:pPr>
        <w:pStyle w:val="Heading1"/>
      </w:pPr>
      <w:r w:rsidRPr="00087657">
        <w:t>Lots</w:t>
      </w:r>
    </w:p>
    <w:p w14:paraId="431D0FB5" w14:textId="00DBF578" w:rsidR="005E2A69" w:rsidRPr="00087657" w:rsidRDefault="0038158A" w:rsidP="00C8002D">
      <w:pPr>
        <w:pStyle w:val="Heading2"/>
      </w:pPr>
      <w:r w:rsidRPr="00230D7F">
        <w:t>This procurement exercise is for a single Lot for which The Authority intends to appoint</w:t>
      </w:r>
      <w:r w:rsidR="00412267" w:rsidRPr="00230D7F">
        <w:t xml:space="preserve"> </w:t>
      </w:r>
      <w:r w:rsidR="00230D7F">
        <w:t>up to five</w:t>
      </w:r>
      <w:r w:rsidR="00802874" w:rsidRPr="00230D7F">
        <w:t xml:space="preserve"> supplier</w:t>
      </w:r>
      <w:r w:rsidR="006E76C7" w:rsidRPr="00230D7F">
        <w:t>s</w:t>
      </w:r>
      <w:r w:rsidR="00802874" w:rsidRPr="00230D7F">
        <w:t>.</w:t>
      </w:r>
      <w:r w:rsidR="00230D7F">
        <w:t xml:space="preserve">  </w:t>
      </w:r>
    </w:p>
    <w:p w14:paraId="109E0CF8" w14:textId="41E483D4" w:rsidR="00414AFB" w:rsidRDefault="00414AFB" w:rsidP="0069432E">
      <w:pPr>
        <w:pStyle w:val="Heading1"/>
      </w:pPr>
      <w:r>
        <w:t>Call-off Contract Procedures</w:t>
      </w:r>
    </w:p>
    <w:p w14:paraId="69C15D9C" w14:textId="333E75B3" w:rsidR="00414AFB" w:rsidRDefault="00414AFB" w:rsidP="00414AFB">
      <w:pPr>
        <w:pStyle w:val="Heading2"/>
      </w:pPr>
      <w:r w:rsidRPr="00D060DF">
        <w:t xml:space="preserve">Call-Off Contracts </w:t>
      </w:r>
      <w:r>
        <w:t xml:space="preserve">under the Framework Agreement </w:t>
      </w:r>
      <w:r w:rsidRPr="00D060DF">
        <w:t>may be placed by d</w:t>
      </w:r>
      <w:r>
        <w:t xml:space="preserve">irect award on a ranked basis or by conducting </w:t>
      </w:r>
      <w:r w:rsidRPr="00D060DF">
        <w:t>a mini-competition</w:t>
      </w:r>
      <w:r>
        <w:t>.</w:t>
      </w:r>
      <w:r w:rsidRPr="00D060DF">
        <w:t xml:space="preserve"> </w:t>
      </w:r>
    </w:p>
    <w:p w14:paraId="7A547F9D" w14:textId="4F0639A2" w:rsidR="00414AFB" w:rsidRPr="001A0FE6" w:rsidRDefault="00414AFB" w:rsidP="00414AFB">
      <w:pPr>
        <w:pStyle w:val="Heading2"/>
        <w:rPr>
          <w:b/>
        </w:rPr>
      </w:pPr>
      <w:r w:rsidRPr="00A74266">
        <w:rPr>
          <w:b/>
        </w:rPr>
        <w:t>Option One - Direct Award (Ranked)</w:t>
      </w:r>
    </w:p>
    <w:p w14:paraId="10AB2CEA" w14:textId="268C7B13" w:rsidR="00414AFB" w:rsidRPr="001A0FE6" w:rsidRDefault="00414AFB" w:rsidP="00414AFB">
      <w:pPr>
        <w:pStyle w:val="Heading3"/>
      </w:pPr>
      <w:r>
        <w:t>Institutions</w:t>
      </w:r>
      <w:r w:rsidRPr="0029294E">
        <w:t xml:space="preserve"> wishing to contract for </w:t>
      </w:r>
      <w:r>
        <w:t xml:space="preserve">goods and/or </w:t>
      </w:r>
      <w:r w:rsidRPr="0029294E">
        <w:t xml:space="preserve">services without further competition are required to contract directly with the first ranked </w:t>
      </w:r>
      <w:r>
        <w:t>Contractor</w:t>
      </w:r>
      <w:r w:rsidRPr="0029294E">
        <w:t xml:space="preserve"> (unless the first ranked </w:t>
      </w:r>
      <w:r>
        <w:t>Contractor</w:t>
      </w:r>
      <w:r w:rsidRPr="0029294E">
        <w:t xml:space="preserve"> confirms that they do not have capacity to undertake the work; or cannot respond within the required timesca</w:t>
      </w:r>
      <w:r>
        <w:t>les as detailed in the Specification of Requirements; or</w:t>
      </w:r>
      <w:r w:rsidRPr="0029294E">
        <w:t xml:space="preserve"> there are other relevant issues such as conflict of interest, in which case the second ranked </w:t>
      </w:r>
      <w:r>
        <w:t>Contractor sh</w:t>
      </w:r>
      <w:r w:rsidRPr="0029294E">
        <w:t xml:space="preserve">ould be appointed). If the second ranked </w:t>
      </w:r>
      <w:r>
        <w:t>Contractor</w:t>
      </w:r>
      <w:r w:rsidRPr="0029294E">
        <w:t xml:space="preserve"> cannot meet the need (by reason of issues detailed above), the third ranked </w:t>
      </w:r>
      <w:r>
        <w:t>Contractor</w:t>
      </w:r>
      <w:r w:rsidRPr="0029294E">
        <w:t xml:space="preserve"> should be approached and so on. </w:t>
      </w:r>
    </w:p>
    <w:p w14:paraId="11E6D398" w14:textId="2184563A" w:rsidR="00414AFB" w:rsidRPr="0029294E" w:rsidRDefault="00414AFB" w:rsidP="001A0FE6">
      <w:pPr>
        <w:pStyle w:val="Heading3"/>
      </w:pPr>
      <w:r w:rsidRPr="0029294E">
        <w:t xml:space="preserve">This direct award of a contract will take place after the </w:t>
      </w:r>
      <w:r>
        <w:t>Institution</w:t>
      </w:r>
      <w:r w:rsidRPr="0029294E">
        <w:t xml:space="preserve"> has discussed its specific requirements with the </w:t>
      </w:r>
      <w:r>
        <w:t>Contractor</w:t>
      </w:r>
      <w:r w:rsidRPr="0029294E">
        <w:t xml:space="preserve"> and agreement has been reached as to timescales, methodology/approach, specific service requirements and key milestones and performance indicators to be met.  The Standard Terms and Conditions of any Call-Off Contract </w:t>
      </w:r>
      <w:r>
        <w:t>shall be as those stated in the Framework Agreement</w:t>
      </w:r>
      <w:r w:rsidRPr="0029294E">
        <w:t xml:space="preserve"> and cannot be renegotiated.  For individual assignments under longer term Call-Off Contracts, instruction will be given a</w:t>
      </w:r>
      <w:r>
        <w:t>nd received as per the Specification</w:t>
      </w:r>
      <w:r w:rsidRPr="0029294E">
        <w:t xml:space="preserve"> of Requirements section of this ITT. </w:t>
      </w:r>
    </w:p>
    <w:p w14:paraId="3B48DCCF" w14:textId="197B5E8C" w:rsidR="00A74266" w:rsidRPr="001A0FE6" w:rsidRDefault="00A74266" w:rsidP="001A0FE6">
      <w:pPr>
        <w:pStyle w:val="Heading2"/>
        <w:rPr>
          <w:b/>
        </w:rPr>
      </w:pPr>
      <w:r w:rsidRPr="001A0FE6">
        <w:rPr>
          <w:b/>
        </w:rPr>
        <w:t>Option Two – Mini Competition</w:t>
      </w:r>
    </w:p>
    <w:p w14:paraId="2A3E0878" w14:textId="71C070EC" w:rsidR="00A74266" w:rsidRPr="00F37270" w:rsidRDefault="00A74266" w:rsidP="001A0FE6">
      <w:pPr>
        <w:pStyle w:val="Heading3"/>
      </w:pPr>
      <w:r w:rsidRPr="00F37270">
        <w:t>Institutions wishing to undertake a mini</w:t>
      </w:r>
      <w:r>
        <w:t xml:space="preserve"> competition </w:t>
      </w:r>
      <w:r w:rsidRPr="00F37270">
        <w:t>may do so.  All the Contractor(s)</w:t>
      </w:r>
      <w:r>
        <w:t xml:space="preserve"> appointed to the Framework Agreement</w:t>
      </w:r>
      <w:r w:rsidRPr="00F37270">
        <w:t xml:space="preserve"> must be invited to submit responses to the Institutions mini competition tender document.</w:t>
      </w:r>
    </w:p>
    <w:p w14:paraId="0512EB96" w14:textId="425A9405" w:rsidR="00414AFB" w:rsidRDefault="00A74266" w:rsidP="00414AFB">
      <w:pPr>
        <w:pStyle w:val="Heading3"/>
      </w:pPr>
      <w:r w:rsidRPr="00F37270">
        <w:t>The original Framework Agreement evaluation criteria (or closely-related criteria) should be applied in the mini competition tender document; though some of the criteria may be removed or weightings amended if deemed irrelevant to the Institutions requirements.  As this is a Most Economically Advantageous Tender (MEAT) Framework Agreement, both technical and commercial evaluation criteria must be used in a mini competition tender process.</w:t>
      </w:r>
    </w:p>
    <w:p w14:paraId="70D1239E" w14:textId="64E24A59" w:rsidR="00711FF8" w:rsidRPr="00711FF8" w:rsidRDefault="00711FF8" w:rsidP="00711FF8">
      <w:pPr>
        <w:pStyle w:val="Heading3"/>
      </w:pPr>
      <w:r>
        <w:rPr>
          <w:rFonts w:cs="Arial"/>
        </w:rPr>
        <w:t>Existing VLE I</w:t>
      </w:r>
      <w:r w:rsidRPr="005947F0">
        <w:rPr>
          <w:rFonts w:cs="Arial"/>
        </w:rPr>
        <w:t>nfrastructure and assets such as re-deployable hardware and associated licenses, and perpetual licenses cur</w:t>
      </w:r>
      <w:r>
        <w:rPr>
          <w:rFonts w:cs="Arial"/>
        </w:rPr>
        <w:t>r</w:t>
      </w:r>
      <w:r w:rsidR="00660F59">
        <w:rPr>
          <w:rFonts w:cs="Arial"/>
        </w:rPr>
        <w:t>ently owned by the I</w:t>
      </w:r>
      <w:r>
        <w:rPr>
          <w:rFonts w:cs="Arial"/>
        </w:rPr>
        <w:t xml:space="preserve">nstitution, may be included within the mini-competition evaluation process </w:t>
      </w:r>
      <w:r w:rsidR="00660F59">
        <w:rPr>
          <w:rFonts w:cs="Arial"/>
        </w:rPr>
        <w:t xml:space="preserve">provided that the relevant assets are clearly specified within the mini-competition document.  </w:t>
      </w:r>
    </w:p>
    <w:p w14:paraId="4CF05C09" w14:textId="77777777" w:rsidR="00874B6F" w:rsidRPr="00F27A2E" w:rsidRDefault="00874B6F" w:rsidP="0069432E">
      <w:pPr>
        <w:pStyle w:val="Heading1"/>
      </w:pPr>
      <w:r w:rsidRPr="00087657">
        <w:t>Clarifica</w:t>
      </w:r>
      <w:r w:rsidR="003A40EA" w:rsidRPr="00087657">
        <w:t xml:space="preserve">tions regarding </w:t>
      </w:r>
      <w:r w:rsidR="003A40EA" w:rsidRPr="00F27A2E">
        <w:t>the Invitation T</w:t>
      </w:r>
      <w:r w:rsidRPr="00F27A2E">
        <w:t>o Tender</w:t>
      </w:r>
    </w:p>
    <w:p w14:paraId="3C079179" w14:textId="77777777" w:rsidR="00874B6F" w:rsidRPr="00B764B2" w:rsidRDefault="00FA7B92" w:rsidP="00C8002D">
      <w:pPr>
        <w:pStyle w:val="Heading2"/>
      </w:pPr>
      <w:r w:rsidRPr="00B764B2">
        <w:t>All commun</w:t>
      </w:r>
      <w:r w:rsidR="00874B6F" w:rsidRPr="00B764B2">
        <w:t>i</w:t>
      </w:r>
      <w:r w:rsidRPr="00B764B2">
        <w:t>c</w:t>
      </w:r>
      <w:r w:rsidR="00874B6F" w:rsidRPr="00B764B2">
        <w:t>ations from Tenderers during the procurement exercise must be undertaken using the messaging portal on PCS-T. No other method will be accepted.</w:t>
      </w:r>
    </w:p>
    <w:p w14:paraId="09649E62" w14:textId="77777777" w:rsidR="00874B6F" w:rsidRPr="00B764B2" w:rsidRDefault="00874B6F" w:rsidP="00C8002D">
      <w:pPr>
        <w:pStyle w:val="Heading2"/>
      </w:pPr>
      <w:r w:rsidRPr="00B764B2">
        <w:t xml:space="preserve">Any request for clarification about the procurement exercise should be submitted via the secure messaging portal on PCS-T no later than the deadline </w:t>
      </w:r>
      <w:r w:rsidR="005D679C" w:rsidRPr="00B764B2">
        <w:t xml:space="preserve">for clarification questions (see Proposed Timetable). </w:t>
      </w:r>
      <w:r w:rsidRPr="00B764B2">
        <w:t>No further questions will be accepted after the clarification question deadline. All responses to any questions will be circulated to all Tenderers via</w:t>
      </w:r>
      <w:r w:rsidR="00B94E8A" w:rsidRPr="00B764B2">
        <w:t xml:space="preserve"> the messaging portal on</w:t>
      </w:r>
      <w:r w:rsidRPr="00B764B2">
        <w:t xml:space="preserve"> PCS-T.</w:t>
      </w:r>
    </w:p>
    <w:p w14:paraId="741CDDC1" w14:textId="77777777" w:rsidR="00874B6F" w:rsidRPr="00B764B2" w:rsidRDefault="00874B6F" w:rsidP="00C8002D">
      <w:pPr>
        <w:pStyle w:val="Heading2"/>
      </w:pPr>
      <w:r w:rsidRPr="00B764B2">
        <w:t>If the Authority considers any request for clarification to be of significance to other Tenderers, the Authority will circulate on a regular basis the clarification together with the Authority’s response (but not the source of clarification) to all Tenderers that have expressed an interest in the ITT.</w:t>
      </w:r>
    </w:p>
    <w:p w14:paraId="1274323F" w14:textId="77777777" w:rsidR="00874B6F" w:rsidRPr="00B764B2" w:rsidRDefault="00874B6F" w:rsidP="00C8002D">
      <w:pPr>
        <w:pStyle w:val="Heading2"/>
      </w:pPr>
      <w:bookmarkStart w:id="2" w:name="_Ref270501488"/>
      <w:r w:rsidRPr="00B764B2">
        <w:t>Where a Tenderer believes that a request for clarification is commercially sensitive e.g. where disclosure of such clarification and the respo</w:t>
      </w:r>
      <w:r w:rsidR="00412267" w:rsidRPr="00B764B2">
        <w:t xml:space="preserve">nse would or would be likely to </w:t>
      </w:r>
      <w:r w:rsidRPr="00B764B2">
        <w:t>prejudice its commercial interests, the Tenderer should clearly indicate that the clarification is commercially sensitive. However, if the Authority at its sole discretion does not conside</w:t>
      </w:r>
      <w:r w:rsidR="00B94E8A" w:rsidRPr="00B764B2">
        <w:t xml:space="preserve">r that the clarification is </w:t>
      </w:r>
      <w:r w:rsidRPr="00B764B2">
        <w:t>commercially confidential in nature</w:t>
      </w:r>
      <w:r w:rsidR="00B94E8A" w:rsidRPr="00B764B2">
        <w:t>,</w:t>
      </w:r>
      <w:r w:rsidRPr="00B764B2">
        <w:t xml:space="preserve"> the Authority will</w:t>
      </w:r>
      <w:r w:rsidR="00B94E8A" w:rsidRPr="00B764B2">
        <w:t xml:space="preserve"> either circulate the clarification to all Tenderers or the Tenderer may withdraw the clarification</w:t>
      </w:r>
      <w:bookmarkEnd w:id="2"/>
      <w:r w:rsidR="00B94E8A" w:rsidRPr="00B764B2">
        <w:t>.</w:t>
      </w:r>
    </w:p>
    <w:p w14:paraId="0EB85B8E" w14:textId="77777777" w:rsidR="00307E92" w:rsidRPr="00B764B2" w:rsidRDefault="00C95E85" w:rsidP="00C8002D">
      <w:pPr>
        <w:pStyle w:val="Heading2"/>
      </w:pPr>
      <w:r w:rsidRPr="00B764B2">
        <w:t>The Authority reserves the right not to respond to a request for clarification or to circulate such a request where it considers that the answer to that clarification would or would be likely to prejudice the Authority’</w:t>
      </w:r>
      <w:r w:rsidR="00F274A3">
        <w:t xml:space="preserve">s commercial interests. In such </w:t>
      </w:r>
      <w:r w:rsidRPr="00B764B2">
        <w:t>circumstances, the Authority will inform the relevant Tenderer.</w:t>
      </w:r>
    </w:p>
    <w:p w14:paraId="519D00B2" w14:textId="77777777" w:rsidR="00C95E85" w:rsidRPr="00F27A2E" w:rsidRDefault="00C95E85" w:rsidP="0069432E">
      <w:pPr>
        <w:pStyle w:val="Heading1"/>
      </w:pPr>
      <w:r w:rsidRPr="00F27A2E">
        <w:t>Alterations to the ITT</w:t>
      </w:r>
    </w:p>
    <w:p w14:paraId="0F3089A7" w14:textId="77777777" w:rsidR="00C95E85" w:rsidRPr="00B764B2" w:rsidRDefault="00C95E85" w:rsidP="00C8002D">
      <w:pPr>
        <w:pStyle w:val="Heading2"/>
      </w:pPr>
      <w:r w:rsidRPr="00B764B2">
        <w:t>Tenderers may modify their Tender response prior to the deadline for Tender Responses via PCS-T. No Tender Responses may be modified after the Tender Response deadline.</w:t>
      </w:r>
      <w:r w:rsidR="00AA3AC8" w:rsidRPr="00B764B2">
        <w:t xml:space="preserve"> Tenderers must ensure that they have published their Tender Response for their Tender to be considered and evaluated. The Tenderer will receive a confirmation email from PCS-T once the Tender has been published.</w:t>
      </w:r>
    </w:p>
    <w:p w14:paraId="541D8F1A" w14:textId="77777777" w:rsidR="00C95E85" w:rsidRPr="00B764B2" w:rsidRDefault="00C95E85" w:rsidP="00C8002D">
      <w:pPr>
        <w:pStyle w:val="Heading2"/>
      </w:pPr>
      <w:r w:rsidRPr="00B764B2">
        <w:t>Any m</w:t>
      </w:r>
      <w:r w:rsidR="003A40EA" w:rsidRPr="00B764B2">
        <w:t>odification to the Invitation T</w:t>
      </w:r>
      <w:r w:rsidRPr="00B764B2">
        <w:t>o Tender by the Authority will be notified to Tenderers no less than 10 working days prior to the Tender Response deadline. If appropriate, the Authority will revise the Tender Response deadline to accommodate this.</w:t>
      </w:r>
    </w:p>
    <w:p w14:paraId="0D07C492" w14:textId="77777777" w:rsidR="0095383D" w:rsidRPr="00802874" w:rsidRDefault="00C95E85" w:rsidP="00C8002D">
      <w:pPr>
        <w:pStyle w:val="Heading2"/>
      </w:pPr>
      <w:r w:rsidRPr="00B764B2">
        <w:t>Tenderers may withdraw their Tender Response at any time prior to the Tender Response deadline</w:t>
      </w:r>
      <w:r w:rsidR="00A87473" w:rsidRPr="00B764B2">
        <w:t>.</w:t>
      </w:r>
      <w:r w:rsidR="00AA3AC8" w:rsidRPr="00B764B2">
        <w:t xml:space="preserve"> </w:t>
      </w:r>
    </w:p>
    <w:p w14:paraId="7E0CCCA2" w14:textId="77777777" w:rsidR="00AA3AC8" w:rsidRPr="00B764B2" w:rsidRDefault="00AA3AC8" w:rsidP="0069432E">
      <w:pPr>
        <w:pStyle w:val="Heading1"/>
      </w:pPr>
      <w:r w:rsidRPr="00B764B2">
        <w:t>Receipt of Tender Response</w:t>
      </w:r>
    </w:p>
    <w:p w14:paraId="4C135A83" w14:textId="77777777" w:rsidR="00B8609F" w:rsidRPr="00B764B2" w:rsidRDefault="00AA3AC8" w:rsidP="00C8002D">
      <w:pPr>
        <w:pStyle w:val="Heading2"/>
      </w:pPr>
      <w:r w:rsidRPr="00B764B2">
        <w:t>Tender Responses must be uploaded on PCS-T prior to th</w:t>
      </w:r>
      <w:r w:rsidR="005D679C" w:rsidRPr="00B764B2">
        <w:t>e time and date set out in the Proposed T</w:t>
      </w:r>
      <w:r w:rsidRPr="00B764B2">
        <w:t xml:space="preserve">imetable. Tender responses received before that deadline will remain unopened until that deadline or such time thereafter when all Tender Responses will be opened. The Authority </w:t>
      </w:r>
      <w:r w:rsidR="00A87473" w:rsidRPr="00B764B2">
        <w:t>reserves the right to reject</w:t>
      </w:r>
      <w:r w:rsidR="008738AD" w:rsidRPr="00B764B2">
        <w:t xml:space="preserve"> </w:t>
      </w:r>
      <w:r w:rsidRPr="00B764B2">
        <w:t>Tender Responses received after that deadline</w:t>
      </w:r>
      <w:r w:rsidR="008738AD" w:rsidRPr="00B764B2">
        <w:t xml:space="preserve"> and disqualify any incomplete Tenders</w:t>
      </w:r>
      <w:r w:rsidR="00B8609F" w:rsidRPr="00B764B2">
        <w:t>.</w:t>
      </w:r>
    </w:p>
    <w:p w14:paraId="1D843094" w14:textId="77777777" w:rsidR="0095383D" w:rsidRPr="00B764B2" w:rsidRDefault="00B8609F" w:rsidP="00C8002D">
      <w:pPr>
        <w:pStyle w:val="Heading2"/>
      </w:pPr>
      <w:r w:rsidRPr="00B764B2">
        <w:t>By issuing this ITT, the Authority reserves the right not to award the Framework Agreement for some or all of the goods and/or services for which Tender Responses are invited.</w:t>
      </w:r>
    </w:p>
    <w:p w14:paraId="73486133" w14:textId="77777777" w:rsidR="00FA7B92" w:rsidRPr="00F27A2E" w:rsidRDefault="00FA7B92" w:rsidP="0069432E">
      <w:pPr>
        <w:pStyle w:val="Heading1"/>
      </w:pPr>
      <w:r w:rsidRPr="00F27A2E">
        <w:t>Costs of Tendering</w:t>
      </w:r>
    </w:p>
    <w:p w14:paraId="3AC5CDA6" w14:textId="77777777" w:rsidR="00FA7B92" w:rsidRPr="00B764B2" w:rsidRDefault="00FA7B92" w:rsidP="00C8002D">
      <w:pPr>
        <w:pStyle w:val="Heading2"/>
      </w:pPr>
      <w:r w:rsidRPr="00B764B2">
        <w:t>Tenderers shall bear their own costs and expenses incurred in the preparation and submission of their Tender Response and any applic</w:t>
      </w:r>
      <w:r w:rsidR="00196D26" w:rsidRPr="00B764B2">
        <w:t>able site visits or presentations</w:t>
      </w:r>
      <w:r w:rsidRPr="00B764B2">
        <w:t>. The Authority will in no case be responsible or liable for those costs, regardless of the outcome in relation to individual Tender Responses.</w:t>
      </w:r>
    </w:p>
    <w:p w14:paraId="516F3757" w14:textId="77777777" w:rsidR="007A55D7" w:rsidRPr="00B764B2" w:rsidRDefault="00FA7B92" w:rsidP="00C8002D">
      <w:pPr>
        <w:pStyle w:val="Heading2"/>
      </w:pPr>
      <w:r w:rsidRPr="00B764B2">
        <w:t>The Authority reserves the right to cancel the procurement exercise at any point. The Authority will accept no liability</w:t>
      </w:r>
      <w:r w:rsidR="00196D26" w:rsidRPr="00B764B2">
        <w:t xml:space="preserve"> for any losse</w:t>
      </w:r>
      <w:r w:rsidRPr="00B764B2">
        <w:t>s</w:t>
      </w:r>
      <w:r w:rsidR="00196D26" w:rsidRPr="00B764B2">
        <w:t xml:space="preserve"> caused by any cancellation of this procurement exercise nor any decision not to award a Framework Agreement.</w:t>
      </w:r>
    </w:p>
    <w:p w14:paraId="32AADCDF" w14:textId="77777777" w:rsidR="00BF3BD3" w:rsidRPr="00F27A2E" w:rsidRDefault="00BF3BD3" w:rsidP="0069432E">
      <w:pPr>
        <w:pStyle w:val="Heading1"/>
      </w:pPr>
      <w:r w:rsidRPr="00F27A2E">
        <w:t>Confidentiality</w:t>
      </w:r>
    </w:p>
    <w:p w14:paraId="5FE82FCD" w14:textId="77777777" w:rsidR="00647100" w:rsidRPr="00B764B2" w:rsidRDefault="00041104" w:rsidP="00C8002D">
      <w:pPr>
        <w:pStyle w:val="Heading2"/>
      </w:pPr>
      <w:r w:rsidRPr="00B764B2">
        <w:t>Subject to the provision of Freedom of Information, t</w:t>
      </w:r>
      <w:r w:rsidR="00BF3BD3" w:rsidRPr="00B764B2">
        <w:t xml:space="preserve">he contents of this ITT and of any other documentation sent to any Tenderer in respect of this procurement exercise are provided on the basis that they remain the property of the Authority and/or relevant body. Tenderers shall treat the contents of the ITT and any related documents as confidential and shall take all necessary precautions to ensure that all information is treated as such and not disclosed or used other than for the purpose </w:t>
      </w:r>
      <w:r w:rsidR="00F274A3">
        <w:t xml:space="preserve">of </w:t>
      </w:r>
      <w:r w:rsidR="00BF3BD3" w:rsidRPr="00B764B2">
        <w:t>this procurement exercise by the Tenderer.</w:t>
      </w:r>
      <w:r w:rsidRPr="00B764B2">
        <w:t xml:space="preserve"> </w:t>
      </w:r>
    </w:p>
    <w:p w14:paraId="697EAEAD" w14:textId="77777777" w:rsidR="007A55D7" w:rsidRPr="00B764B2" w:rsidRDefault="00041104" w:rsidP="00C8002D">
      <w:pPr>
        <w:pStyle w:val="Heading2"/>
      </w:pPr>
      <w:r w:rsidRPr="00B764B2">
        <w:t>No Tenderer will undertake any publicity activities with any part of the media in relation to this ITT without the prior written agreement of the Authority, including agreement on format and content of any publicity.</w:t>
      </w:r>
    </w:p>
    <w:p w14:paraId="3C000F92" w14:textId="77777777" w:rsidR="00041104" w:rsidRPr="00F27A2E" w:rsidRDefault="00041104" w:rsidP="0069432E">
      <w:pPr>
        <w:pStyle w:val="Heading1"/>
      </w:pPr>
      <w:r w:rsidRPr="00F27A2E">
        <w:t>Information Disclosure and the Freedom of Information</w:t>
      </w:r>
      <w:r w:rsidR="0077306A" w:rsidRPr="00F27A2E">
        <w:t xml:space="preserve"> (Scotland)</w:t>
      </w:r>
      <w:r w:rsidRPr="00F27A2E">
        <w:t xml:space="preserve"> Act 2002</w:t>
      </w:r>
    </w:p>
    <w:p w14:paraId="69621D04" w14:textId="77777777" w:rsidR="00856AD3" w:rsidRPr="00B764B2" w:rsidRDefault="00041104" w:rsidP="00C8002D">
      <w:pPr>
        <w:pStyle w:val="Heading2"/>
      </w:pPr>
      <w:r w:rsidRPr="00B764B2">
        <w:t>In accordance with the obligations and duties placed upon public authorities</w:t>
      </w:r>
      <w:r w:rsidR="00856AD3" w:rsidRPr="00B764B2">
        <w:t>, all information submitted to the Authority may need to be disclosed and/or published by the Authority. The Authority may disclose information in compliance with the</w:t>
      </w:r>
      <w:r w:rsidRPr="00B764B2">
        <w:t xml:space="preserve"> Freedom</w:t>
      </w:r>
      <w:r w:rsidR="00153FB6" w:rsidRPr="00B764B2">
        <w:t xml:space="preserve"> of Information (Scotland) Act 2002,</w:t>
      </w:r>
      <w:r w:rsidR="00856AD3" w:rsidRPr="00B764B2">
        <w:t xml:space="preserve"> (the de</w:t>
      </w:r>
      <w:r w:rsidR="00F274A3">
        <w:t xml:space="preserve">cisions of the Authority in the </w:t>
      </w:r>
      <w:r w:rsidR="005B534D" w:rsidRPr="00B764B2">
        <w:t>I</w:t>
      </w:r>
      <w:r w:rsidR="00856AD3" w:rsidRPr="00B764B2">
        <w:t>nterpretation thereof shall be final and conclusive in any dispute, difference or question arising in respect of disclosure under its terms), any other law, or, as a consequence of judicial order, or order by any court or tribunal with the authority to order disclosure.</w:t>
      </w:r>
    </w:p>
    <w:p w14:paraId="74001F81" w14:textId="77777777" w:rsidR="009F4C58" w:rsidRPr="00B764B2" w:rsidRDefault="00856AD3" w:rsidP="00C8002D">
      <w:pPr>
        <w:pStyle w:val="Heading2"/>
      </w:pPr>
      <w:r w:rsidRPr="00B764B2">
        <w:t>Further, the Authority may also disclose all information submitted to them to the Scottish or United Kingdom Parliament or any other department, office or agency of Her Majesty’s Government in Scotland or the United Kingdom and their servants or agents. When disclosing such information to either the Scottish Parliament or the United Kingdom Parliament or their executive bodies, it is recognised and agreed by both parties that the Authority shall, if they see fit, disclose such information and are unable to impose any restriction</w:t>
      </w:r>
      <w:r w:rsidR="002C38D3" w:rsidRPr="00B764B2">
        <w:t xml:space="preserve"> upon the information that they provide to members of the Scottish Parliament, or Members of the United Kingdom Parliament.</w:t>
      </w:r>
    </w:p>
    <w:p w14:paraId="43C59E23" w14:textId="77777777" w:rsidR="00A73F2A" w:rsidRPr="00B764B2" w:rsidRDefault="002C38D3" w:rsidP="00C8002D">
      <w:pPr>
        <w:pStyle w:val="Heading2"/>
      </w:pPr>
      <w:r w:rsidRPr="00B764B2">
        <w:t xml:space="preserve">Accordingly, if the Tenderer considers that any of the information submitted in the </w:t>
      </w:r>
      <w:r w:rsidR="00412267" w:rsidRPr="00B764B2">
        <w:t>T</w:t>
      </w:r>
      <w:r w:rsidRPr="00B764B2">
        <w:t>ender Response is commercially confidential, the Tend</w:t>
      </w:r>
      <w:r w:rsidR="00A73F2A" w:rsidRPr="00B764B2">
        <w:t xml:space="preserve">erer should complete Appendix B - </w:t>
      </w:r>
      <w:r w:rsidRPr="00B764B2">
        <w:t xml:space="preserve">Freedom of Information. It should be noted that where the Tenderer has indicated that the information is commercially sensitive, the Authority </w:t>
      </w:r>
      <w:r w:rsidR="00A73F2A" w:rsidRPr="00B764B2">
        <w:t>will endeavour to maintain confidentiality of that information. However, Tenderers should note, that even where information is identified as commercially sensitive, the Authority may be required</w:t>
      </w:r>
      <w:r w:rsidR="00412267" w:rsidRPr="00B764B2">
        <w:t xml:space="preserve"> </w:t>
      </w:r>
      <w:r w:rsidR="00A73F2A" w:rsidRPr="00B764B2">
        <w:t>to disclose such information in accordance with the Freedom of Information (Scotla</w:t>
      </w:r>
      <w:r w:rsidR="00412267" w:rsidRPr="00B764B2">
        <w:t xml:space="preserve">nd) </w:t>
      </w:r>
      <w:r w:rsidR="00A73F2A" w:rsidRPr="00B764B2">
        <w:t>Act 2002.</w:t>
      </w:r>
    </w:p>
    <w:p w14:paraId="0F506B60" w14:textId="77777777" w:rsidR="00307E92" w:rsidRPr="00B764B2" w:rsidRDefault="00A73F2A" w:rsidP="00C8002D">
      <w:pPr>
        <w:pStyle w:val="Heading2"/>
      </w:pPr>
      <w:r w:rsidRPr="00B764B2">
        <w:t>Where a Tenderer receives a request for information relating to this procurement exercise under the Freedom of Information (Scotland) Act 2002 during the procurement exercise, this should be immediately passed on to the Authority and the Tenderer should not attempt to answer the request without first consulting with the Authority.</w:t>
      </w:r>
    </w:p>
    <w:p w14:paraId="1B34005E" w14:textId="77777777" w:rsidR="00AD472C" w:rsidRPr="00F27A2E" w:rsidRDefault="00AD472C" w:rsidP="0069432E">
      <w:pPr>
        <w:pStyle w:val="Heading1"/>
      </w:pPr>
      <w:r w:rsidRPr="00F27A2E">
        <w:t>Variant Bids</w:t>
      </w:r>
    </w:p>
    <w:p w14:paraId="34FEDC5B" w14:textId="77777777" w:rsidR="00307E92" w:rsidRPr="006E76C7" w:rsidRDefault="00AD472C" w:rsidP="00C8002D">
      <w:pPr>
        <w:pStyle w:val="Heading2"/>
      </w:pPr>
      <w:r w:rsidRPr="006E76C7">
        <w:t xml:space="preserve">The Authority will not consider a variant Tender Response. </w:t>
      </w:r>
    </w:p>
    <w:p w14:paraId="30587077" w14:textId="77777777" w:rsidR="00AD472C" w:rsidRPr="00F27A2E" w:rsidRDefault="00AD472C" w:rsidP="0069432E">
      <w:pPr>
        <w:pStyle w:val="Heading1"/>
      </w:pPr>
      <w:r w:rsidRPr="00F27A2E">
        <w:t>Consortia and Subcontracting</w:t>
      </w:r>
    </w:p>
    <w:p w14:paraId="4BDF642A" w14:textId="77777777" w:rsidR="00AD472C" w:rsidRPr="00B764B2" w:rsidRDefault="00AD472C" w:rsidP="00C8002D">
      <w:pPr>
        <w:pStyle w:val="Heading2"/>
      </w:pPr>
      <w:r w:rsidRPr="00B764B2">
        <w:t>Where a consortium or sub-contracting approach is proposed, Tenderers are required to complete the relevant questions in the Qualification Questionnaire on PCS-T</w:t>
      </w:r>
      <w:r w:rsidR="00222315" w:rsidRPr="00B764B2">
        <w:t xml:space="preserve"> [ESPD]</w:t>
      </w:r>
      <w:r w:rsidRPr="00B764B2">
        <w:t xml:space="preserve">. </w:t>
      </w:r>
    </w:p>
    <w:p w14:paraId="54127E6A" w14:textId="77777777" w:rsidR="00AD472C" w:rsidRPr="00B764B2" w:rsidRDefault="00AD472C" w:rsidP="00C8002D">
      <w:pPr>
        <w:pStyle w:val="Heading2"/>
      </w:pPr>
      <w:r w:rsidRPr="00B764B2">
        <w:t>Relevant information should be provided in your Tender Response in respect of the consortium member or members who will play a significant role in the delivery of the requirement. Tender Responses must enable the Authority to assess the overall consortia or core supply base.</w:t>
      </w:r>
    </w:p>
    <w:p w14:paraId="64889C92" w14:textId="77777777" w:rsidR="00AD472C" w:rsidRPr="00B764B2" w:rsidRDefault="00AD472C" w:rsidP="00C8002D">
      <w:pPr>
        <w:pStyle w:val="Heading2"/>
      </w:pPr>
      <w:r w:rsidRPr="00B764B2">
        <w:t>Where the members of the consortium change at any time during the procurement exercise, the Tenderer should inform the Authority immediately in writing. In such circumstances, the Authority reserves the right to take such action, including excluding the consortium from participating in the procurement exercise, where the change in membership is material in the sense that ha</w:t>
      </w:r>
      <w:r w:rsidR="00F274A3">
        <w:t xml:space="preserve">d it been made earlier it would </w:t>
      </w:r>
      <w:r w:rsidRPr="00B764B2">
        <w:t>have affected the Authority’s evaluation of the Tender Response.</w:t>
      </w:r>
    </w:p>
    <w:p w14:paraId="67EB74BD" w14:textId="77777777" w:rsidR="007A55D7" w:rsidRPr="00B764B2" w:rsidRDefault="00AD472C" w:rsidP="00C8002D">
      <w:pPr>
        <w:pStyle w:val="Heading2"/>
      </w:pPr>
      <w:r w:rsidRPr="00B764B2">
        <w:t>The consortium may be required to form a legal entity which will enter into the resulting Framework Agreement.</w:t>
      </w:r>
    </w:p>
    <w:p w14:paraId="4EEA5F7C" w14:textId="77777777" w:rsidR="00AD472C" w:rsidRPr="00B764B2" w:rsidRDefault="00AD472C" w:rsidP="0069432E">
      <w:pPr>
        <w:pStyle w:val="Heading1"/>
      </w:pPr>
      <w:r w:rsidRPr="00B764B2">
        <w:t>TUPE</w:t>
      </w:r>
    </w:p>
    <w:p w14:paraId="105DF64F" w14:textId="77777777" w:rsidR="00AD472C" w:rsidRPr="00B764B2" w:rsidRDefault="00AD472C" w:rsidP="00C8002D">
      <w:pPr>
        <w:pStyle w:val="Heading2"/>
      </w:pPr>
      <w:r w:rsidRPr="00B764B2">
        <w:t xml:space="preserve">Your attention is drawn to the Transfer of Undertakings (Protection of Employment) Regulations 2006 (TUPE). It is the responsibility of Tenderers to determine whether or not TUPE applies to this procurement exercise. Notwithstanding this, Tenderers will note that it is the Authority’s view that </w:t>
      </w:r>
      <w:r w:rsidRPr="00C73EBD">
        <w:t xml:space="preserve">TUPE </w:t>
      </w:r>
      <w:r w:rsidR="000955B0" w:rsidRPr="00C73EBD">
        <w:t>is not likely</w:t>
      </w:r>
      <w:r w:rsidRPr="00C73EBD">
        <w:t xml:space="preserve"> to </w:t>
      </w:r>
      <w:r w:rsidRPr="00B764B2">
        <w:t>be applicable to this procurement if this procurement exercise results in a Framework Agreement being placed, although the Authority is not liable for the opinion expressed. In these circumstances the Authority will wish to satisfy itself that Tender Responses are responsibly based and take full account of your likely TUPE obligations.</w:t>
      </w:r>
    </w:p>
    <w:p w14:paraId="7FBEFB81" w14:textId="77777777" w:rsidR="007A55D7" w:rsidRPr="00B764B2" w:rsidRDefault="00AD472C" w:rsidP="00C8002D">
      <w:pPr>
        <w:pStyle w:val="Heading2"/>
      </w:pPr>
      <w:r w:rsidRPr="00B764B2">
        <w:t xml:space="preserve">If Tenderers have a contrary view to that of the Authority on the applicability of TUPE, Tenderers should advise the Authority via the PCS-T messaging portal, </w:t>
      </w:r>
      <w:r w:rsidR="00C71A02" w:rsidRPr="00B764B2">
        <w:t xml:space="preserve">giving reasons </w:t>
      </w:r>
      <w:r w:rsidRPr="00B764B2">
        <w:t xml:space="preserve">prior to the deadline for receipt of Tender Response. </w:t>
      </w:r>
    </w:p>
    <w:p w14:paraId="5CC376A7" w14:textId="77777777" w:rsidR="00AD472C" w:rsidRPr="00F27A2E" w:rsidRDefault="007A55D7" w:rsidP="0069432E">
      <w:pPr>
        <w:pStyle w:val="Heading1"/>
      </w:pPr>
      <w:r w:rsidRPr="00F27A2E">
        <w:t>A</w:t>
      </w:r>
      <w:r w:rsidR="00AD472C" w:rsidRPr="00F27A2E">
        <w:t>dditional Information</w:t>
      </w:r>
    </w:p>
    <w:p w14:paraId="51ABC8FF" w14:textId="77777777" w:rsidR="00AD472C" w:rsidRPr="00B764B2" w:rsidRDefault="00AD472C" w:rsidP="00C8002D">
      <w:pPr>
        <w:pStyle w:val="Heading2"/>
      </w:pPr>
      <w:r w:rsidRPr="00B764B2">
        <w:t xml:space="preserve">Tenderers are expected to examine all instructions, questions, forms, terms and </w:t>
      </w:r>
      <w:r w:rsidR="005734F8">
        <w:t>the</w:t>
      </w:r>
      <w:r w:rsidR="00F274A3">
        <w:t xml:space="preserve"> </w:t>
      </w:r>
      <w:r w:rsidRPr="00B764B2">
        <w:t>specification in the ITT and check they are complete in all respects.</w:t>
      </w:r>
    </w:p>
    <w:p w14:paraId="464AC0CB" w14:textId="77777777" w:rsidR="00AD472C" w:rsidRPr="00B764B2" w:rsidRDefault="00F274A3" w:rsidP="00C8002D">
      <w:pPr>
        <w:pStyle w:val="Heading2"/>
      </w:pPr>
      <w:r>
        <w:t xml:space="preserve">Tenderers </w:t>
      </w:r>
      <w:r w:rsidR="00AD472C" w:rsidRPr="00B764B2">
        <w:t>should notify the Authority promptly of any perceived ambiguity, inconsistency or omissions in this ITT, any of its associated documents and/or any other documentation issued to them during the procurement exercise.</w:t>
      </w:r>
    </w:p>
    <w:p w14:paraId="3CD303A3" w14:textId="77777777" w:rsidR="00307E92" w:rsidRPr="00B764B2" w:rsidRDefault="00AD472C" w:rsidP="00C8002D">
      <w:pPr>
        <w:pStyle w:val="Heading2"/>
      </w:pPr>
      <w:r w:rsidRPr="00B764B2">
        <w:t>Tenderers are responsible for ensuring that they have submitted a complete and accurate Tender Response. Prices must be submitted in £ Sterling, exclusive of VAT.</w:t>
      </w:r>
    </w:p>
    <w:p w14:paraId="063F6088" w14:textId="77777777" w:rsidR="00AD472C" w:rsidRPr="00F27A2E" w:rsidRDefault="00AD472C" w:rsidP="0069432E">
      <w:pPr>
        <w:pStyle w:val="Heading1"/>
      </w:pPr>
      <w:r w:rsidRPr="00F27A2E">
        <w:t>Tender Evaluation</w:t>
      </w:r>
    </w:p>
    <w:p w14:paraId="4866EC7D" w14:textId="77777777" w:rsidR="00AD472C" w:rsidRPr="00B764B2" w:rsidRDefault="00AD472C" w:rsidP="00C8002D">
      <w:pPr>
        <w:pStyle w:val="Heading2"/>
      </w:pPr>
      <w:r w:rsidRPr="00B764B2">
        <w:t>In accordance with The Public Contracts (Scotland) Regulations 201</w:t>
      </w:r>
      <w:r w:rsidR="00F23281" w:rsidRPr="00B764B2">
        <w:t>5</w:t>
      </w:r>
      <w:r w:rsidRPr="00B764B2">
        <w:t>, the Authority will evaluate Tender Responses to determine th</w:t>
      </w:r>
      <w:r w:rsidR="00945C48" w:rsidRPr="00B764B2">
        <w:t>e M</w:t>
      </w:r>
      <w:r w:rsidRPr="00B764B2">
        <w:t xml:space="preserve">ost </w:t>
      </w:r>
      <w:r w:rsidR="00945C48" w:rsidRPr="00B764B2">
        <w:t>E</w:t>
      </w:r>
      <w:r w:rsidRPr="00B764B2">
        <w:t xml:space="preserve">conomically </w:t>
      </w:r>
      <w:r w:rsidR="00945C48" w:rsidRPr="00B764B2">
        <w:t>A</w:t>
      </w:r>
      <w:r w:rsidRPr="00B764B2">
        <w:t>dvantageous Tender (MEAT). Tender Responses will be evaluated on both technical and commercial merit.</w:t>
      </w:r>
    </w:p>
    <w:p w14:paraId="2F8B6242" w14:textId="77777777" w:rsidR="00091414" w:rsidRPr="00B764B2" w:rsidRDefault="00AD472C" w:rsidP="00C8002D">
      <w:pPr>
        <w:pStyle w:val="Heading2"/>
      </w:pPr>
      <w:r w:rsidRPr="00B764B2">
        <w:t>The ITT includes mandatory minimum requirements</w:t>
      </w:r>
      <w:r w:rsidR="00E90EF1" w:rsidRPr="00B764B2">
        <w:t xml:space="preserve"> (Qualification Questionnaire on PCS-T</w:t>
      </w:r>
      <w:r w:rsidR="008927AE" w:rsidRPr="00B764B2">
        <w:t xml:space="preserve"> </w:t>
      </w:r>
      <w:r w:rsidR="00F23164" w:rsidRPr="00B764B2">
        <w:t>[</w:t>
      </w:r>
      <w:r w:rsidR="008927AE" w:rsidRPr="00B764B2">
        <w:t>ESPD</w:t>
      </w:r>
      <w:r w:rsidR="00F23164" w:rsidRPr="00B764B2">
        <w:t>]</w:t>
      </w:r>
      <w:r w:rsidRPr="00B764B2">
        <w:t>. It is important that Tenderers read these carefully and</w:t>
      </w:r>
      <w:r w:rsidR="00F274A3">
        <w:t xml:space="preserve"> </w:t>
      </w:r>
      <w:r w:rsidRPr="00B764B2">
        <w:t>demonstrate</w:t>
      </w:r>
      <w:r w:rsidR="001D784B" w:rsidRPr="00B764B2">
        <w:t xml:space="preserve"> </w:t>
      </w:r>
      <w:r w:rsidRPr="00B764B2">
        <w:t xml:space="preserve">compliance with these requirements. Failure to comply with any applicable mandatory minimum requirements may result in exclusion from the procurement exercise. Each Tenderer passing the Minimum Standards will then be subject to a </w:t>
      </w:r>
      <w:r w:rsidR="00945C48" w:rsidRPr="00B764B2">
        <w:t>T</w:t>
      </w:r>
      <w:r w:rsidRPr="00B764B2">
        <w:t xml:space="preserve">echnical and </w:t>
      </w:r>
      <w:r w:rsidR="00945C48" w:rsidRPr="00B764B2">
        <w:t>C</w:t>
      </w:r>
      <w:r w:rsidRPr="00B764B2">
        <w:t xml:space="preserve">ommercial evaluation.  </w:t>
      </w:r>
      <w:r w:rsidR="00307E92" w:rsidRPr="00B764B2">
        <w:t>T</w:t>
      </w:r>
      <w:r w:rsidR="00307E92" w:rsidRPr="00087657">
        <w:t xml:space="preserve">he ratio being Technical </w:t>
      </w:r>
      <w:r w:rsidR="005734F8" w:rsidRPr="00C66F95">
        <w:t>70%</w:t>
      </w:r>
      <w:r w:rsidR="00307E92" w:rsidRPr="00087657">
        <w:t xml:space="preserve"> and Commercial </w:t>
      </w:r>
      <w:r w:rsidR="005734F8" w:rsidRPr="00C66F95">
        <w:t>3</w:t>
      </w:r>
      <w:r w:rsidR="00307E92" w:rsidRPr="00C66F95">
        <w:t>0%</w:t>
      </w:r>
      <w:r w:rsidR="00E70137" w:rsidRPr="00C66F95">
        <w:t>.</w:t>
      </w:r>
    </w:p>
    <w:p w14:paraId="11455891" w14:textId="77777777" w:rsidR="0003243A" w:rsidRDefault="0003243A">
      <w:pPr>
        <w:rPr>
          <w:b/>
          <w:bCs/>
          <w:szCs w:val="22"/>
        </w:rPr>
      </w:pPr>
      <w:r>
        <w:rPr>
          <w:b/>
          <w:bCs/>
          <w:szCs w:val="22"/>
        </w:rPr>
        <w:br w:type="page"/>
      </w:r>
    </w:p>
    <w:p w14:paraId="2C637D4E" w14:textId="77777777" w:rsidR="00AD472C" w:rsidRPr="00B764B2" w:rsidRDefault="00556908" w:rsidP="00691426">
      <w:pPr>
        <w:rPr>
          <w:szCs w:val="22"/>
        </w:rPr>
      </w:pPr>
      <w:r w:rsidRPr="00B764B2">
        <w:rPr>
          <w:b/>
          <w:bCs/>
          <w:szCs w:val="22"/>
        </w:rPr>
        <w:t>Evaluation Criteria</w:t>
      </w:r>
    </w:p>
    <w:tbl>
      <w:tblPr>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1"/>
        <w:gridCol w:w="2948"/>
        <w:gridCol w:w="1134"/>
        <w:gridCol w:w="914"/>
        <w:gridCol w:w="3055"/>
        <w:gridCol w:w="1417"/>
      </w:tblGrid>
      <w:tr w:rsidR="0086268C" w:rsidRPr="00B764B2" w14:paraId="244AFF96" w14:textId="77777777" w:rsidTr="00E349BA">
        <w:trPr>
          <w:trHeight w:val="19"/>
        </w:trPr>
        <w:tc>
          <w:tcPr>
            <w:tcW w:w="1731" w:type="dxa"/>
            <w:tcBorders>
              <w:bottom w:val="single" w:sz="4" w:space="0" w:color="000000"/>
            </w:tcBorders>
            <w:shd w:val="clear" w:color="auto" w:fill="auto"/>
          </w:tcPr>
          <w:p w14:paraId="7FCAEFE0" w14:textId="77777777" w:rsidR="00724B2B" w:rsidRPr="00142EC6" w:rsidRDefault="00724B2B" w:rsidP="00335AFD">
            <w:pPr>
              <w:jc w:val="left"/>
              <w:rPr>
                <w:rFonts w:eastAsia="Calibri"/>
                <w:b/>
                <w:bCs/>
              </w:rPr>
            </w:pPr>
            <w:r w:rsidRPr="00142EC6">
              <w:rPr>
                <w:b/>
                <w:bCs/>
              </w:rPr>
              <w:t>Questionnaire in PCS-T</w:t>
            </w:r>
          </w:p>
        </w:tc>
        <w:tc>
          <w:tcPr>
            <w:tcW w:w="2948" w:type="dxa"/>
            <w:tcBorders>
              <w:bottom w:val="single" w:sz="4" w:space="0" w:color="000000"/>
            </w:tcBorders>
            <w:shd w:val="clear" w:color="auto" w:fill="auto"/>
          </w:tcPr>
          <w:p w14:paraId="27615CB6" w14:textId="77777777" w:rsidR="00724B2B" w:rsidRPr="00142EC6" w:rsidRDefault="00724B2B" w:rsidP="00335AFD">
            <w:pPr>
              <w:jc w:val="left"/>
              <w:rPr>
                <w:rFonts w:eastAsia="Calibri"/>
                <w:b/>
                <w:bCs/>
              </w:rPr>
            </w:pPr>
            <w:r w:rsidRPr="00142EC6">
              <w:rPr>
                <w:b/>
                <w:bCs/>
              </w:rPr>
              <w:t>Section Name in PCS-T</w:t>
            </w:r>
          </w:p>
          <w:p w14:paraId="5D2E812A" w14:textId="77777777" w:rsidR="00724B2B" w:rsidRPr="00142EC6" w:rsidRDefault="00724B2B" w:rsidP="00373FA9">
            <w:pPr>
              <w:jc w:val="left"/>
              <w:rPr>
                <w:rFonts w:eastAsia="Calibri"/>
                <w:b/>
                <w:bCs/>
              </w:rPr>
            </w:pPr>
            <w:r w:rsidRPr="00142EC6">
              <w:rPr>
                <w:b/>
                <w:bCs/>
              </w:rPr>
              <w:t>(question numbers refer to Schedule 3 of the ITT)</w:t>
            </w:r>
          </w:p>
        </w:tc>
        <w:tc>
          <w:tcPr>
            <w:tcW w:w="2048" w:type="dxa"/>
            <w:gridSpan w:val="2"/>
            <w:tcBorders>
              <w:bottom w:val="single" w:sz="4" w:space="0" w:color="000000"/>
            </w:tcBorders>
            <w:shd w:val="clear" w:color="auto" w:fill="auto"/>
          </w:tcPr>
          <w:p w14:paraId="5C1E1A4C" w14:textId="77777777" w:rsidR="00724B2B" w:rsidRPr="00142EC6" w:rsidRDefault="00724B2B" w:rsidP="00335AFD">
            <w:pPr>
              <w:jc w:val="left"/>
              <w:rPr>
                <w:b/>
                <w:bCs/>
              </w:rPr>
            </w:pPr>
            <w:r w:rsidRPr="00142EC6">
              <w:rPr>
                <w:b/>
                <w:bCs/>
              </w:rPr>
              <w:t>Weighting (%) Pass/Fail</w:t>
            </w:r>
          </w:p>
        </w:tc>
        <w:tc>
          <w:tcPr>
            <w:tcW w:w="3055" w:type="dxa"/>
            <w:tcBorders>
              <w:bottom w:val="single" w:sz="4" w:space="0" w:color="000000"/>
            </w:tcBorders>
            <w:shd w:val="clear" w:color="auto" w:fill="auto"/>
          </w:tcPr>
          <w:p w14:paraId="09E3C0FC" w14:textId="77777777" w:rsidR="00724B2B" w:rsidRPr="00142EC6" w:rsidRDefault="00724B2B" w:rsidP="00335AFD">
            <w:pPr>
              <w:jc w:val="left"/>
              <w:rPr>
                <w:rFonts w:eastAsia="Calibri"/>
                <w:b/>
                <w:bCs/>
              </w:rPr>
            </w:pPr>
            <w:r w:rsidRPr="00142EC6">
              <w:rPr>
                <w:b/>
                <w:bCs/>
              </w:rPr>
              <w:t>Question Name</w:t>
            </w:r>
          </w:p>
        </w:tc>
        <w:tc>
          <w:tcPr>
            <w:tcW w:w="1417" w:type="dxa"/>
            <w:tcBorders>
              <w:bottom w:val="single" w:sz="4" w:space="0" w:color="000000"/>
            </w:tcBorders>
            <w:shd w:val="clear" w:color="auto" w:fill="CCC0D9" w:themeFill="accent4" w:themeFillTint="66"/>
          </w:tcPr>
          <w:p w14:paraId="016F4231" w14:textId="77777777" w:rsidR="00724B2B" w:rsidRPr="004921A3" w:rsidRDefault="00724B2B" w:rsidP="00335AFD">
            <w:pPr>
              <w:jc w:val="left"/>
              <w:rPr>
                <w:rFonts w:eastAsia="Calibri"/>
                <w:b/>
                <w:bCs/>
                <w:highlight w:val="yellow"/>
              </w:rPr>
            </w:pPr>
            <w:r w:rsidRPr="004921A3">
              <w:rPr>
                <w:b/>
                <w:bCs/>
                <w:highlight w:val="yellow"/>
              </w:rPr>
              <w:t>Weighting (%)</w:t>
            </w:r>
          </w:p>
        </w:tc>
      </w:tr>
      <w:tr w:rsidR="0086268C" w:rsidRPr="00B764B2" w14:paraId="27D39045" w14:textId="77777777" w:rsidTr="00E349BA">
        <w:trPr>
          <w:trHeight w:val="19"/>
        </w:trPr>
        <w:tc>
          <w:tcPr>
            <w:tcW w:w="1731" w:type="dxa"/>
            <w:vMerge w:val="restart"/>
            <w:shd w:val="clear" w:color="auto" w:fill="auto"/>
          </w:tcPr>
          <w:p w14:paraId="6C3BD04B" w14:textId="77777777" w:rsidR="00280125" w:rsidRPr="00142EC6" w:rsidRDefault="00280125" w:rsidP="00EE50E6">
            <w:pPr>
              <w:pStyle w:val="SectionTitle"/>
              <w:spacing w:after="120"/>
              <w:jc w:val="both"/>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Qualification Envelope</w:t>
            </w:r>
          </w:p>
          <w:p w14:paraId="4DB2B86E" w14:textId="77777777" w:rsidR="00F0698E" w:rsidRPr="00142EC6" w:rsidRDefault="00F0698E" w:rsidP="00EE50E6">
            <w:pPr>
              <w:pStyle w:val="SectionTitle"/>
              <w:spacing w:after="120"/>
              <w:jc w:val="both"/>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[ESPD]</w:t>
            </w:r>
          </w:p>
        </w:tc>
        <w:tc>
          <w:tcPr>
            <w:tcW w:w="2948" w:type="dxa"/>
            <w:shd w:val="clear" w:color="auto" w:fill="auto"/>
          </w:tcPr>
          <w:p w14:paraId="5C5A3AD6" w14:textId="0C039D60" w:rsidR="00280125" w:rsidRPr="00142EC6" w:rsidRDefault="00271B16" w:rsidP="00271B16">
            <w:pPr>
              <w:pStyle w:val="SectionTitle"/>
              <w:spacing w:after="120"/>
              <w:jc w:val="left"/>
              <w:rPr>
                <w:rFonts w:ascii="Arial" w:eastAsia="Times New Roman" w:hAnsi="Arial" w:cs="Arial"/>
                <w:b w:val="0"/>
                <w:smallCaps w:val="0"/>
                <w:sz w:val="22"/>
                <w:lang w:eastAsia="en-GB"/>
              </w:rPr>
            </w:pPr>
            <w:r>
              <w:rPr>
                <w:rFonts w:ascii="Arial" w:eastAsia="Times New Roman" w:hAnsi="Arial" w:cs="Arial"/>
                <w:b w:val="0"/>
                <w:smallCaps w:val="0"/>
                <w:sz w:val="22"/>
                <w:lang w:eastAsia="en-GB"/>
              </w:rPr>
              <w:t xml:space="preserve">Acceptance </w:t>
            </w:r>
            <w:r w:rsidR="00280125" w:rsidRPr="00142EC6">
              <w:rPr>
                <w:rFonts w:ascii="Arial" w:eastAsia="Times New Roman" w:hAnsi="Arial" w:cs="Arial"/>
                <w:b w:val="0"/>
                <w:smallCaps w:val="0"/>
                <w:sz w:val="22"/>
                <w:lang w:eastAsia="en-GB"/>
              </w:rPr>
              <w:t>of Documentation</w:t>
            </w:r>
          </w:p>
        </w:tc>
        <w:tc>
          <w:tcPr>
            <w:tcW w:w="2048" w:type="dxa"/>
            <w:gridSpan w:val="2"/>
            <w:shd w:val="clear" w:color="auto" w:fill="auto"/>
          </w:tcPr>
          <w:p w14:paraId="0C900CA5" w14:textId="77777777" w:rsidR="00280125" w:rsidRPr="00142EC6" w:rsidRDefault="00280125" w:rsidP="00335AFD">
            <w:pPr>
              <w:jc w:val="left"/>
              <w:rPr>
                <w:rFonts w:cs="Arial"/>
                <w:szCs w:val="22"/>
              </w:rPr>
            </w:pPr>
            <w:r w:rsidRPr="00142EC6">
              <w:rPr>
                <w:rFonts w:cs="Arial"/>
                <w:szCs w:val="22"/>
              </w:rPr>
              <w:t>Info Only</w:t>
            </w:r>
          </w:p>
        </w:tc>
        <w:tc>
          <w:tcPr>
            <w:tcW w:w="3055" w:type="dxa"/>
            <w:shd w:val="clear" w:color="auto" w:fill="auto"/>
          </w:tcPr>
          <w:p w14:paraId="0D41D4CF" w14:textId="77777777" w:rsidR="00280125" w:rsidRPr="00142EC6" w:rsidRDefault="00280125" w:rsidP="00335AFD">
            <w:pPr>
              <w:jc w:val="left"/>
              <w:rPr>
                <w:rFonts w:cs="Arial"/>
                <w:color w:val="FF0000"/>
                <w:szCs w:val="22"/>
              </w:rPr>
            </w:pPr>
          </w:p>
        </w:tc>
        <w:tc>
          <w:tcPr>
            <w:tcW w:w="1417" w:type="dxa"/>
            <w:shd w:val="clear" w:color="auto" w:fill="FFFFFF"/>
          </w:tcPr>
          <w:p w14:paraId="318DCBE3" w14:textId="77777777" w:rsidR="00280125" w:rsidRPr="004921A3" w:rsidRDefault="00280125" w:rsidP="00335AFD">
            <w:pPr>
              <w:jc w:val="left"/>
              <w:rPr>
                <w:rFonts w:cs="Arial"/>
                <w:color w:val="FF0000"/>
                <w:szCs w:val="22"/>
                <w:highlight w:val="yellow"/>
              </w:rPr>
            </w:pPr>
          </w:p>
        </w:tc>
      </w:tr>
      <w:tr w:rsidR="0086268C" w:rsidRPr="00B764B2" w14:paraId="3C0485A8" w14:textId="77777777" w:rsidTr="00E349BA">
        <w:trPr>
          <w:trHeight w:val="19"/>
        </w:trPr>
        <w:tc>
          <w:tcPr>
            <w:tcW w:w="1731" w:type="dxa"/>
            <w:vMerge/>
            <w:shd w:val="clear" w:color="auto" w:fill="auto"/>
          </w:tcPr>
          <w:p w14:paraId="7A526182" w14:textId="77777777" w:rsidR="00280125" w:rsidRPr="00142EC6" w:rsidRDefault="00280125" w:rsidP="00EE50E6">
            <w:pPr>
              <w:pStyle w:val="SectionTitle"/>
              <w:spacing w:after="120"/>
              <w:jc w:val="both"/>
              <w:rPr>
                <w:rFonts w:ascii="Arial" w:eastAsia="Times New Roman" w:hAnsi="Arial" w:cs="Arial"/>
                <w:b w:val="0"/>
                <w:smallCaps w:val="0"/>
                <w:sz w:val="22"/>
                <w:lang w:eastAsia="en-GB"/>
              </w:rPr>
            </w:pPr>
          </w:p>
        </w:tc>
        <w:tc>
          <w:tcPr>
            <w:tcW w:w="2948" w:type="dxa"/>
            <w:shd w:val="clear" w:color="auto" w:fill="auto"/>
          </w:tcPr>
          <w:p w14:paraId="4573AC24" w14:textId="77777777" w:rsidR="00280125" w:rsidRPr="00142EC6" w:rsidRDefault="005734F8" w:rsidP="00271B16">
            <w:pPr>
              <w:pStyle w:val="SectionTitle"/>
              <w:spacing w:after="120"/>
              <w:jc w:val="left"/>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 xml:space="preserve">Part II: A   Information </w:t>
            </w:r>
            <w:r w:rsidR="00EE50E6" w:rsidRPr="00142EC6">
              <w:rPr>
                <w:rFonts w:ascii="Arial" w:eastAsia="Times New Roman" w:hAnsi="Arial" w:cs="Arial"/>
                <w:b w:val="0"/>
                <w:smallCaps w:val="0"/>
                <w:sz w:val="22"/>
                <w:lang w:eastAsia="en-GB"/>
              </w:rPr>
              <w:t xml:space="preserve">about </w:t>
            </w:r>
            <w:r w:rsidR="00373FA9" w:rsidRPr="00142EC6">
              <w:rPr>
                <w:rFonts w:ascii="Arial" w:eastAsia="Times New Roman" w:hAnsi="Arial" w:cs="Arial"/>
                <w:b w:val="0"/>
                <w:smallCaps w:val="0"/>
                <w:sz w:val="22"/>
                <w:lang w:eastAsia="en-GB"/>
              </w:rPr>
              <w:t xml:space="preserve">the </w:t>
            </w:r>
            <w:r w:rsidR="00F23164" w:rsidRPr="00142EC6">
              <w:rPr>
                <w:rFonts w:ascii="Arial" w:eastAsia="Times New Roman" w:hAnsi="Arial" w:cs="Arial"/>
                <w:b w:val="0"/>
                <w:smallCaps w:val="0"/>
                <w:sz w:val="22"/>
                <w:lang w:eastAsia="en-GB"/>
              </w:rPr>
              <w:t>bidder: Identification</w:t>
            </w:r>
          </w:p>
        </w:tc>
        <w:tc>
          <w:tcPr>
            <w:tcW w:w="2048" w:type="dxa"/>
            <w:gridSpan w:val="2"/>
            <w:shd w:val="clear" w:color="auto" w:fill="auto"/>
          </w:tcPr>
          <w:p w14:paraId="019FBAEC" w14:textId="77777777" w:rsidR="00280125" w:rsidRPr="00142EC6" w:rsidRDefault="00280125" w:rsidP="00335AFD">
            <w:pPr>
              <w:jc w:val="left"/>
              <w:rPr>
                <w:rFonts w:cs="Arial"/>
                <w:szCs w:val="22"/>
              </w:rPr>
            </w:pPr>
            <w:r w:rsidRPr="00142EC6">
              <w:rPr>
                <w:rFonts w:cs="Arial"/>
                <w:szCs w:val="22"/>
              </w:rPr>
              <w:t>Info Only</w:t>
            </w:r>
          </w:p>
        </w:tc>
        <w:tc>
          <w:tcPr>
            <w:tcW w:w="3055" w:type="dxa"/>
            <w:shd w:val="clear" w:color="auto" w:fill="auto"/>
          </w:tcPr>
          <w:p w14:paraId="67D29B0A" w14:textId="77777777" w:rsidR="00280125" w:rsidRPr="00142EC6" w:rsidRDefault="00280125" w:rsidP="00335AFD">
            <w:pPr>
              <w:jc w:val="left"/>
              <w:rPr>
                <w:rFonts w:cs="Arial"/>
                <w:color w:val="FF0000"/>
                <w:szCs w:val="22"/>
              </w:rPr>
            </w:pPr>
          </w:p>
        </w:tc>
        <w:tc>
          <w:tcPr>
            <w:tcW w:w="1417" w:type="dxa"/>
            <w:shd w:val="clear" w:color="auto" w:fill="FFFFFF"/>
          </w:tcPr>
          <w:p w14:paraId="1592CE64" w14:textId="77777777" w:rsidR="00280125" w:rsidRPr="004921A3" w:rsidRDefault="00280125" w:rsidP="00335AFD">
            <w:pPr>
              <w:jc w:val="left"/>
              <w:rPr>
                <w:rFonts w:cs="Arial"/>
                <w:color w:val="FF0000"/>
                <w:szCs w:val="22"/>
                <w:highlight w:val="yellow"/>
              </w:rPr>
            </w:pPr>
          </w:p>
        </w:tc>
      </w:tr>
      <w:tr w:rsidR="0086268C" w:rsidRPr="00B764B2" w14:paraId="6ADAD8EC" w14:textId="77777777" w:rsidTr="00E349BA">
        <w:trPr>
          <w:trHeight w:val="19"/>
        </w:trPr>
        <w:tc>
          <w:tcPr>
            <w:tcW w:w="1731" w:type="dxa"/>
            <w:vMerge/>
            <w:shd w:val="clear" w:color="auto" w:fill="auto"/>
          </w:tcPr>
          <w:p w14:paraId="148841C5" w14:textId="77777777" w:rsidR="00280125" w:rsidRPr="00142EC6" w:rsidRDefault="00280125" w:rsidP="00EE50E6">
            <w:pPr>
              <w:pStyle w:val="SectionTitle"/>
              <w:spacing w:after="120"/>
              <w:jc w:val="both"/>
              <w:rPr>
                <w:rFonts w:ascii="Arial" w:eastAsia="Times New Roman" w:hAnsi="Arial" w:cs="Arial"/>
                <w:b w:val="0"/>
                <w:smallCaps w:val="0"/>
                <w:sz w:val="22"/>
                <w:lang w:eastAsia="en-GB"/>
              </w:rPr>
            </w:pPr>
          </w:p>
        </w:tc>
        <w:tc>
          <w:tcPr>
            <w:tcW w:w="2948" w:type="dxa"/>
            <w:shd w:val="clear" w:color="auto" w:fill="auto"/>
          </w:tcPr>
          <w:p w14:paraId="4A4FDDD6" w14:textId="77777777" w:rsidR="00280125" w:rsidRPr="00142EC6" w:rsidRDefault="00F23164" w:rsidP="00271B16">
            <w:pPr>
              <w:pStyle w:val="SectionTitle"/>
              <w:spacing w:after="120"/>
              <w:jc w:val="left"/>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 xml:space="preserve">Part II: B </w:t>
            </w:r>
            <w:r w:rsidR="00F23B3B" w:rsidRPr="00142EC6">
              <w:rPr>
                <w:rFonts w:ascii="Arial" w:eastAsia="Times New Roman" w:hAnsi="Arial" w:cs="Arial"/>
                <w:b w:val="0"/>
                <w:smallCaps w:val="0"/>
                <w:sz w:val="22"/>
                <w:lang w:eastAsia="en-GB"/>
              </w:rPr>
              <w:t>Information about representatives of the bidder</w:t>
            </w:r>
          </w:p>
        </w:tc>
        <w:tc>
          <w:tcPr>
            <w:tcW w:w="2048" w:type="dxa"/>
            <w:gridSpan w:val="2"/>
            <w:shd w:val="clear" w:color="auto" w:fill="auto"/>
          </w:tcPr>
          <w:p w14:paraId="74FE2837" w14:textId="77777777" w:rsidR="00280125" w:rsidRPr="00142EC6" w:rsidRDefault="00280125" w:rsidP="00335AFD">
            <w:pPr>
              <w:jc w:val="left"/>
              <w:rPr>
                <w:rFonts w:cs="Arial"/>
                <w:szCs w:val="22"/>
              </w:rPr>
            </w:pPr>
            <w:r w:rsidRPr="00142EC6">
              <w:rPr>
                <w:rFonts w:cs="Arial"/>
                <w:szCs w:val="22"/>
              </w:rPr>
              <w:t>Info Only</w:t>
            </w:r>
          </w:p>
        </w:tc>
        <w:tc>
          <w:tcPr>
            <w:tcW w:w="3055" w:type="dxa"/>
            <w:shd w:val="clear" w:color="auto" w:fill="auto"/>
          </w:tcPr>
          <w:p w14:paraId="5559BF23" w14:textId="77777777" w:rsidR="00280125" w:rsidRPr="00142EC6" w:rsidRDefault="00280125" w:rsidP="00335AFD">
            <w:pPr>
              <w:jc w:val="left"/>
              <w:rPr>
                <w:rFonts w:cs="Arial"/>
                <w:color w:val="FF0000"/>
                <w:szCs w:val="22"/>
              </w:rPr>
            </w:pPr>
          </w:p>
        </w:tc>
        <w:tc>
          <w:tcPr>
            <w:tcW w:w="1417" w:type="dxa"/>
            <w:shd w:val="clear" w:color="auto" w:fill="FFFFFF"/>
          </w:tcPr>
          <w:p w14:paraId="6F0696FA" w14:textId="77777777" w:rsidR="00280125" w:rsidRPr="004921A3" w:rsidRDefault="00280125" w:rsidP="00335AFD">
            <w:pPr>
              <w:jc w:val="left"/>
              <w:rPr>
                <w:rFonts w:cs="Arial"/>
                <w:color w:val="FF0000"/>
                <w:szCs w:val="22"/>
                <w:highlight w:val="yellow"/>
              </w:rPr>
            </w:pPr>
          </w:p>
        </w:tc>
      </w:tr>
      <w:tr w:rsidR="0086268C" w:rsidRPr="00B764B2" w14:paraId="51A33347" w14:textId="77777777" w:rsidTr="00E349BA">
        <w:trPr>
          <w:trHeight w:val="19"/>
        </w:trPr>
        <w:tc>
          <w:tcPr>
            <w:tcW w:w="1731" w:type="dxa"/>
            <w:vMerge/>
            <w:shd w:val="clear" w:color="auto" w:fill="auto"/>
          </w:tcPr>
          <w:p w14:paraId="68C0C959" w14:textId="77777777" w:rsidR="00280125" w:rsidRPr="00142EC6" w:rsidRDefault="00280125" w:rsidP="00EE50E6">
            <w:pPr>
              <w:pStyle w:val="SectionTitle"/>
              <w:spacing w:after="120"/>
              <w:jc w:val="both"/>
              <w:rPr>
                <w:rFonts w:ascii="Arial" w:eastAsia="Times New Roman" w:hAnsi="Arial" w:cs="Arial"/>
                <w:b w:val="0"/>
                <w:smallCaps w:val="0"/>
                <w:sz w:val="22"/>
                <w:lang w:eastAsia="en-GB"/>
              </w:rPr>
            </w:pPr>
          </w:p>
        </w:tc>
        <w:tc>
          <w:tcPr>
            <w:tcW w:w="2948" w:type="dxa"/>
            <w:shd w:val="clear" w:color="auto" w:fill="auto"/>
          </w:tcPr>
          <w:p w14:paraId="46F93FA9" w14:textId="77777777" w:rsidR="00280125" w:rsidRPr="00142EC6" w:rsidRDefault="00F23164" w:rsidP="00271B16">
            <w:pPr>
              <w:pStyle w:val="SectionTitle"/>
              <w:spacing w:after="120"/>
              <w:jc w:val="left"/>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 xml:space="preserve">Part II: C </w:t>
            </w:r>
            <w:r w:rsidR="00F23B3B" w:rsidRPr="00142EC6">
              <w:rPr>
                <w:rFonts w:ascii="Arial" w:eastAsia="Times New Roman" w:hAnsi="Arial" w:cs="Arial"/>
                <w:b w:val="0"/>
                <w:smallCaps w:val="0"/>
                <w:sz w:val="22"/>
                <w:lang w:eastAsia="en-GB"/>
              </w:rPr>
              <w:t>Information about reliance on the capacities of other entities</w:t>
            </w:r>
          </w:p>
        </w:tc>
        <w:tc>
          <w:tcPr>
            <w:tcW w:w="2048" w:type="dxa"/>
            <w:gridSpan w:val="2"/>
            <w:shd w:val="clear" w:color="auto" w:fill="auto"/>
          </w:tcPr>
          <w:p w14:paraId="630C188C" w14:textId="77777777" w:rsidR="00280125" w:rsidRPr="00142EC6" w:rsidRDefault="00280125" w:rsidP="00335AFD">
            <w:pPr>
              <w:jc w:val="left"/>
              <w:rPr>
                <w:rFonts w:cs="Arial"/>
                <w:szCs w:val="22"/>
              </w:rPr>
            </w:pPr>
            <w:r w:rsidRPr="00142EC6">
              <w:rPr>
                <w:rFonts w:cs="Arial"/>
                <w:szCs w:val="22"/>
              </w:rPr>
              <w:t>Info Only</w:t>
            </w:r>
          </w:p>
        </w:tc>
        <w:tc>
          <w:tcPr>
            <w:tcW w:w="3055" w:type="dxa"/>
            <w:shd w:val="clear" w:color="auto" w:fill="auto"/>
          </w:tcPr>
          <w:p w14:paraId="6216B11D" w14:textId="77777777" w:rsidR="00280125" w:rsidRPr="00142EC6" w:rsidRDefault="00280125" w:rsidP="00335AFD">
            <w:pPr>
              <w:jc w:val="left"/>
              <w:rPr>
                <w:rFonts w:cs="Arial"/>
                <w:color w:val="FF0000"/>
                <w:szCs w:val="22"/>
              </w:rPr>
            </w:pPr>
          </w:p>
        </w:tc>
        <w:tc>
          <w:tcPr>
            <w:tcW w:w="1417" w:type="dxa"/>
            <w:shd w:val="clear" w:color="auto" w:fill="FFFFFF"/>
          </w:tcPr>
          <w:p w14:paraId="1B9581D9" w14:textId="77777777" w:rsidR="00280125" w:rsidRPr="004921A3" w:rsidRDefault="00280125" w:rsidP="00335AFD">
            <w:pPr>
              <w:jc w:val="left"/>
              <w:rPr>
                <w:rFonts w:cs="Arial"/>
                <w:color w:val="FF0000"/>
                <w:szCs w:val="22"/>
                <w:highlight w:val="yellow"/>
              </w:rPr>
            </w:pPr>
          </w:p>
        </w:tc>
      </w:tr>
      <w:tr w:rsidR="00F23B3B" w:rsidRPr="00B764B2" w14:paraId="7FD3DB04" w14:textId="77777777" w:rsidTr="00E349BA">
        <w:trPr>
          <w:trHeight w:val="19"/>
        </w:trPr>
        <w:tc>
          <w:tcPr>
            <w:tcW w:w="1731" w:type="dxa"/>
            <w:vMerge/>
            <w:shd w:val="clear" w:color="auto" w:fill="auto"/>
          </w:tcPr>
          <w:p w14:paraId="7CF315A3" w14:textId="77777777" w:rsidR="00F23B3B" w:rsidRPr="00142EC6" w:rsidRDefault="00F23B3B" w:rsidP="00EE50E6">
            <w:pPr>
              <w:pStyle w:val="SectionTitle"/>
              <w:spacing w:after="120"/>
              <w:jc w:val="both"/>
              <w:rPr>
                <w:rFonts w:ascii="Arial" w:eastAsia="Times New Roman" w:hAnsi="Arial" w:cs="Arial"/>
                <w:b w:val="0"/>
                <w:smallCaps w:val="0"/>
                <w:sz w:val="22"/>
                <w:lang w:eastAsia="en-GB"/>
              </w:rPr>
            </w:pPr>
          </w:p>
        </w:tc>
        <w:tc>
          <w:tcPr>
            <w:tcW w:w="2948" w:type="dxa"/>
            <w:shd w:val="clear" w:color="auto" w:fill="auto"/>
          </w:tcPr>
          <w:p w14:paraId="14920F2B" w14:textId="77777777" w:rsidR="00F23B3B" w:rsidRPr="00142EC6" w:rsidRDefault="00F23164" w:rsidP="00271B16">
            <w:pPr>
              <w:pStyle w:val="SectionTitle"/>
              <w:spacing w:after="120"/>
              <w:jc w:val="left"/>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 xml:space="preserve">Part II D </w:t>
            </w:r>
            <w:r w:rsidR="00F23B3B" w:rsidRPr="00142EC6">
              <w:rPr>
                <w:rFonts w:ascii="Arial" w:eastAsia="Times New Roman" w:hAnsi="Arial" w:cs="Arial"/>
                <w:b w:val="0"/>
                <w:smallCaps w:val="0"/>
                <w:sz w:val="22"/>
                <w:lang w:eastAsia="en-GB"/>
              </w:rPr>
              <w:t>Information concerning subcontractors on whose capacity the bidder does not rely</w:t>
            </w:r>
          </w:p>
        </w:tc>
        <w:tc>
          <w:tcPr>
            <w:tcW w:w="2048" w:type="dxa"/>
            <w:gridSpan w:val="2"/>
            <w:shd w:val="clear" w:color="auto" w:fill="auto"/>
          </w:tcPr>
          <w:p w14:paraId="425CAF53" w14:textId="77777777" w:rsidR="00F23B3B" w:rsidRPr="00142EC6" w:rsidRDefault="00F23B3B" w:rsidP="00335AFD">
            <w:pPr>
              <w:jc w:val="left"/>
              <w:rPr>
                <w:rFonts w:cs="Arial"/>
                <w:szCs w:val="22"/>
              </w:rPr>
            </w:pPr>
            <w:r w:rsidRPr="00142EC6">
              <w:rPr>
                <w:rFonts w:cs="Arial"/>
                <w:szCs w:val="22"/>
              </w:rPr>
              <w:t>Info Only</w:t>
            </w:r>
          </w:p>
        </w:tc>
        <w:tc>
          <w:tcPr>
            <w:tcW w:w="3055" w:type="dxa"/>
            <w:shd w:val="clear" w:color="auto" w:fill="auto"/>
          </w:tcPr>
          <w:p w14:paraId="78BEE0A9" w14:textId="77777777" w:rsidR="00F23B3B" w:rsidRPr="00142EC6" w:rsidRDefault="00F23B3B" w:rsidP="00335AFD">
            <w:pPr>
              <w:jc w:val="left"/>
              <w:rPr>
                <w:rFonts w:cs="Arial"/>
                <w:color w:val="FF0000"/>
                <w:szCs w:val="22"/>
              </w:rPr>
            </w:pPr>
          </w:p>
        </w:tc>
        <w:tc>
          <w:tcPr>
            <w:tcW w:w="1417" w:type="dxa"/>
            <w:shd w:val="clear" w:color="auto" w:fill="FFFFFF"/>
          </w:tcPr>
          <w:p w14:paraId="4DBDA79C" w14:textId="77777777" w:rsidR="00F23B3B" w:rsidRPr="004921A3" w:rsidRDefault="00F23B3B" w:rsidP="00335AFD">
            <w:pPr>
              <w:jc w:val="left"/>
              <w:rPr>
                <w:rFonts w:cs="Arial"/>
                <w:color w:val="FF0000"/>
                <w:szCs w:val="22"/>
                <w:highlight w:val="yellow"/>
              </w:rPr>
            </w:pPr>
          </w:p>
        </w:tc>
      </w:tr>
      <w:tr w:rsidR="00F23B3B" w:rsidRPr="00B764B2" w14:paraId="3442CB5B" w14:textId="77777777" w:rsidTr="00E349BA">
        <w:trPr>
          <w:trHeight w:val="19"/>
        </w:trPr>
        <w:tc>
          <w:tcPr>
            <w:tcW w:w="1731" w:type="dxa"/>
            <w:vMerge/>
            <w:shd w:val="clear" w:color="auto" w:fill="auto"/>
          </w:tcPr>
          <w:p w14:paraId="7D86365D" w14:textId="77777777" w:rsidR="00F23B3B" w:rsidRPr="00142EC6" w:rsidRDefault="00F23B3B" w:rsidP="00EE50E6">
            <w:pPr>
              <w:pStyle w:val="SectionTitle"/>
              <w:spacing w:after="120"/>
              <w:jc w:val="both"/>
              <w:rPr>
                <w:rFonts w:ascii="Arial" w:eastAsia="Times New Roman" w:hAnsi="Arial" w:cs="Arial"/>
                <w:b w:val="0"/>
                <w:smallCaps w:val="0"/>
                <w:sz w:val="22"/>
                <w:lang w:eastAsia="en-GB"/>
              </w:rPr>
            </w:pPr>
          </w:p>
        </w:tc>
        <w:tc>
          <w:tcPr>
            <w:tcW w:w="2948" w:type="dxa"/>
            <w:shd w:val="clear" w:color="auto" w:fill="auto"/>
          </w:tcPr>
          <w:p w14:paraId="20E08F30" w14:textId="77777777" w:rsidR="00F23B3B" w:rsidRPr="00142EC6" w:rsidRDefault="00F23164" w:rsidP="00EE50E6">
            <w:pPr>
              <w:pStyle w:val="SectionTitle"/>
              <w:spacing w:after="120"/>
              <w:jc w:val="both"/>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 xml:space="preserve">Part III: A </w:t>
            </w:r>
            <w:r w:rsidR="00F23B3B" w:rsidRPr="00142EC6">
              <w:rPr>
                <w:rFonts w:ascii="Arial" w:eastAsia="Times New Roman" w:hAnsi="Arial" w:cs="Arial"/>
                <w:b w:val="0"/>
                <w:smallCaps w:val="0"/>
                <w:sz w:val="22"/>
                <w:lang w:eastAsia="en-GB"/>
              </w:rPr>
              <w:t>Grounds relating to criminal convictions</w:t>
            </w:r>
          </w:p>
        </w:tc>
        <w:tc>
          <w:tcPr>
            <w:tcW w:w="2048" w:type="dxa"/>
            <w:gridSpan w:val="2"/>
            <w:shd w:val="clear" w:color="auto" w:fill="auto"/>
          </w:tcPr>
          <w:p w14:paraId="61E1F296" w14:textId="77777777" w:rsidR="00F23B3B" w:rsidRPr="00142EC6" w:rsidRDefault="00F23B3B" w:rsidP="00335AFD">
            <w:pPr>
              <w:jc w:val="left"/>
              <w:rPr>
                <w:rFonts w:cs="Arial"/>
                <w:szCs w:val="22"/>
              </w:rPr>
            </w:pPr>
            <w:r w:rsidRPr="00142EC6">
              <w:rPr>
                <w:rFonts w:cs="Arial"/>
                <w:szCs w:val="22"/>
              </w:rPr>
              <w:t>Pass/Fail</w:t>
            </w:r>
          </w:p>
        </w:tc>
        <w:tc>
          <w:tcPr>
            <w:tcW w:w="3055" w:type="dxa"/>
            <w:shd w:val="clear" w:color="auto" w:fill="auto"/>
          </w:tcPr>
          <w:p w14:paraId="34244FA4" w14:textId="77777777" w:rsidR="00F23B3B" w:rsidRPr="00142EC6" w:rsidRDefault="00F23B3B" w:rsidP="00335AFD">
            <w:pPr>
              <w:jc w:val="left"/>
              <w:rPr>
                <w:rFonts w:cs="Arial"/>
                <w:color w:val="FF0000"/>
                <w:szCs w:val="22"/>
              </w:rPr>
            </w:pPr>
          </w:p>
        </w:tc>
        <w:tc>
          <w:tcPr>
            <w:tcW w:w="1417" w:type="dxa"/>
            <w:shd w:val="clear" w:color="auto" w:fill="FFFFFF"/>
          </w:tcPr>
          <w:p w14:paraId="701016AD" w14:textId="77777777" w:rsidR="00F23B3B" w:rsidRPr="004921A3" w:rsidRDefault="00F23B3B" w:rsidP="00335AFD">
            <w:pPr>
              <w:jc w:val="left"/>
              <w:rPr>
                <w:rFonts w:cs="Arial"/>
                <w:color w:val="FF0000"/>
                <w:szCs w:val="22"/>
                <w:highlight w:val="yellow"/>
              </w:rPr>
            </w:pPr>
          </w:p>
        </w:tc>
      </w:tr>
      <w:tr w:rsidR="0086268C" w:rsidRPr="00B764B2" w14:paraId="5F06896F" w14:textId="77777777" w:rsidTr="00E349BA">
        <w:trPr>
          <w:trHeight w:val="19"/>
        </w:trPr>
        <w:tc>
          <w:tcPr>
            <w:tcW w:w="1731" w:type="dxa"/>
            <w:vMerge/>
            <w:shd w:val="clear" w:color="auto" w:fill="CCC0D9" w:themeFill="accent4" w:themeFillTint="66"/>
          </w:tcPr>
          <w:p w14:paraId="01803A1A" w14:textId="77777777" w:rsidR="00280125" w:rsidRPr="004921A3" w:rsidRDefault="00280125" w:rsidP="00EE50E6">
            <w:pPr>
              <w:pStyle w:val="SectionTitle"/>
              <w:spacing w:after="120"/>
              <w:jc w:val="both"/>
              <w:rPr>
                <w:rFonts w:ascii="Arial" w:eastAsia="Times New Roman" w:hAnsi="Arial" w:cs="Arial"/>
                <w:b w:val="0"/>
                <w:smallCaps w:val="0"/>
                <w:sz w:val="22"/>
                <w:highlight w:val="yellow"/>
                <w:lang w:eastAsia="en-GB"/>
              </w:rPr>
            </w:pPr>
          </w:p>
        </w:tc>
        <w:tc>
          <w:tcPr>
            <w:tcW w:w="2948" w:type="dxa"/>
            <w:shd w:val="clear" w:color="auto" w:fill="FFFFFF"/>
          </w:tcPr>
          <w:p w14:paraId="2F41BB55" w14:textId="77777777" w:rsidR="00280125" w:rsidRPr="00142EC6" w:rsidRDefault="00F23164" w:rsidP="00EE50E6">
            <w:pPr>
              <w:pStyle w:val="SectionTitle"/>
              <w:spacing w:after="120"/>
              <w:jc w:val="both"/>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 xml:space="preserve">Part III: B </w:t>
            </w:r>
            <w:r w:rsidR="00F23B3B" w:rsidRPr="00142EC6">
              <w:rPr>
                <w:rFonts w:ascii="Arial" w:eastAsia="Times New Roman" w:hAnsi="Arial" w:cs="Arial"/>
                <w:b w:val="0"/>
                <w:smallCaps w:val="0"/>
                <w:sz w:val="22"/>
                <w:lang w:eastAsia="en-GB"/>
              </w:rPr>
              <w:t>Grounds relating to the payment of taxes or social security contributions</w:t>
            </w:r>
            <w:r w:rsidR="00F23B3B" w:rsidRPr="00142EC6" w:rsidDel="00F23B3B">
              <w:rPr>
                <w:rFonts w:ascii="Arial" w:eastAsia="Times New Roman" w:hAnsi="Arial" w:cs="Arial"/>
                <w:b w:val="0"/>
                <w:smallCaps w:val="0"/>
                <w:sz w:val="22"/>
                <w:lang w:eastAsia="en-GB"/>
              </w:rPr>
              <w:t xml:space="preserve"> </w:t>
            </w:r>
          </w:p>
        </w:tc>
        <w:tc>
          <w:tcPr>
            <w:tcW w:w="2048" w:type="dxa"/>
            <w:gridSpan w:val="2"/>
            <w:shd w:val="clear" w:color="auto" w:fill="FFFFFF"/>
          </w:tcPr>
          <w:p w14:paraId="07BC7517" w14:textId="77777777" w:rsidR="00280125" w:rsidRPr="00142EC6" w:rsidRDefault="00280125" w:rsidP="00335AFD">
            <w:pPr>
              <w:jc w:val="left"/>
              <w:rPr>
                <w:rFonts w:cs="Arial"/>
                <w:szCs w:val="22"/>
              </w:rPr>
            </w:pPr>
            <w:r w:rsidRPr="00142EC6">
              <w:rPr>
                <w:rFonts w:cs="Arial"/>
                <w:szCs w:val="22"/>
              </w:rPr>
              <w:t>Pass/Fail</w:t>
            </w:r>
          </w:p>
        </w:tc>
        <w:tc>
          <w:tcPr>
            <w:tcW w:w="3055" w:type="dxa"/>
            <w:shd w:val="clear" w:color="auto" w:fill="FFFFFF"/>
          </w:tcPr>
          <w:p w14:paraId="63E49DBA" w14:textId="77777777" w:rsidR="00280125" w:rsidRPr="004921A3" w:rsidRDefault="00280125" w:rsidP="00335AFD">
            <w:pPr>
              <w:jc w:val="left"/>
              <w:rPr>
                <w:rFonts w:cs="Arial"/>
                <w:color w:val="FF0000"/>
                <w:szCs w:val="22"/>
                <w:highlight w:val="yellow"/>
              </w:rPr>
            </w:pPr>
          </w:p>
        </w:tc>
        <w:tc>
          <w:tcPr>
            <w:tcW w:w="1417" w:type="dxa"/>
            <w:shd w:val="clear" w:color="auto" w:fill="FFFFFF"/>
          </w:tcPr>
          <w:p w14:paraId="5483CAC3" w14:textId="77777777" w:rsidR="00280125" w:rsidRPr="004921A3" w:rsidRDefault="00280125" w:rsidP="00335AFD">
            <w:pPr>
              <w:jc w:val="left"/>
              <w:rPr>
                <w:rFonts w:cs="Arial"/>
                <w:color w:val="FF0000"/>
                <w:szCs w:val="22"/>
                <w:highlight w:val="yellow"/>
              </w:rPr>
            </w:pPr>
          </w:p>
        </w:tc>
      </w:tr>
      <w:tr w:rsidR="0086268C" w:rsidRPr="00B764B2" w14:paraId="146221EA" w14:textId="77777777" w:rsidTr="00E349BA">
        <w:trPr>
          <w:trHeight w:val="19"/>
        </w:trPr>
        <w:tc>
          <w:tcPr>
            <w:tcW w:w="1731" w:type="dxa"/>
            <w:vMerge/>
            <w:shd w:val="clear" w:color="auto" w:fill="CCC0D9" w:themeFill="accent4" w:themeFillTint="66"/>
          </w:tcPr>
          <w:p w14:paraId="18D34510" w14:textId="77777777" w:rsidR="00280125" w:rsidRPr="004921A3" w:rsidRDefault="00280125" w:rsidP="00EE50E6">
            <w:pPr>
              <w:pStyle w:val="SectionTitle"/>
              <w:spacing w:after="120"/>
              <w:jc w:val="both"/>
              <w:rPr>
                <w:rFonts w:ascii="Arial" w:eastAsia="Times New Roman" w:hAnsi="Arial" w:cs="Arial"/>
                <w:b w:val="0"/>
                <w:smallCaps w:val="0"/>
                <w:sz w:val="22"/>
                <w:highlight w:val="yellow"/>
                <w:lang w:eastAsia="en-GB"/>
              </w:rPr>
            </w:pPr>
          </w:p>
        </w:tc>
        <w:tc>
          <w:tcPr>
            <w:tcW w:w="2948" w:type="dxa"/>
            <w:tcBorders>
              <w:bottom w:val="single" w:sz="4" w:space="0" w:color="auto"/>
            </w:tcBorders>
            <w:shd w:val="clear" w:color="auto" w:fill="FFFFFF"/>
          </w:tcPr>
          <w:p w14:paraId="7C0D3334" w14:textId="77777777" w:rsidR="00280125" w:rsidRPr="00142EC6" w:rsidRDefault="00F23164" w:rsidP="00EE50E6">
            <w:pPr>
              <w:pStyle w:val="SectionTitle"/>
              <w:spacing w:after="120"/>
              <w:jc w:val="both"/>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 xml:space="preserve">Part III: C </w:t>
            </w:r>
            <w:r w:rsidR="00F23B3B" w:rsidRPr="00142EC6">
              <w:rPr>
                <w:rFonts w:ascii="Arial" w:eastAsia="Times New Roman" w:hAnsi="Arial" w:cs="Arial"/>
                <w:b w:val="0"/>
                <w:smallCaps w:val="0"/>
                <w:sz w:val="22"/>
                <w:lang w:eastAsia="en-GB"/>
              </w:rPr>
              <w:t>Blacklisting</w:t>
            </w:r>
          </w:p>
        </w:tc>
        <w:tc>
          <w:tcPr>
            <w:tcW w:w="2048" w:type="dxa"/>
            <w:gridSpan w:val="2"/>
            <w:shd w:val="clear" w:color="auto" w:fill="FFFFFF"/>
          </w:tcPr>
          <w:p w14:paraId="21723B2B" w14:textId="77777777" w:rsidR="00280125" w:rsidRPr="00142EC6" w:rsidRDefault="00280125" w:rsidP="00335AFD">
            <w:pPr>
              <w:jc w:val="left"/>
              <w:rPr>
                <w:rFonts w:cs="Arial"/>
                <w:szCs w:val="22"/>
              </w:rPr>
            </w:pPr>
            <w:r w:rsidRPr="00142EC6">
              <w:rPr>
                <w:rFonts w:cs="Arial"/>
                <w:szCs w:val="22"/>
              </w:rPr>
              <w:t>Pass/Fail</w:t>
            </w:r>
          </w:p>
        </w:tc>
        <w:tc>
          <w:tcPr>
            <w:tcW w:w="3055" w:type="dxa"/>
            <w:shd w:val="clear" w:color="auto" w:fill="FFFFFF"/>
          </w:tcPr>
          <w:p w14:paraId="36549C0A" w14:textId="77777777" w:rsidR="00280125" w:rsidRPr="004921A3" w:rsidRDefault="00280125" w:rsidP="00335AFD">
            <w:pPr>
              <w:jc w:val="left"/>
              <w:rPr>
                <w:rFonts w:cs="Arial"/>
                <w:color w:val="FF0000"/>
                <w:szCs w:val="22"/>
                <w:highlight w:val="yellow"/>
              </w:rPr>
            </w:pPr>
          </w:p>
        </w:tc>
        <w:tc>
          <w:tcPr>
            <w:tcW w:w="1417" w:type="dxa"/>
            <w:shd w:val="clear" w:color="auto" w:fill="FFFFFF"/>
          </w:tcPr>
          <w:p w14:paraId="66F3070B" w14:textId="77777777" w:rsidR="00280125" w:rsidRPr="004921A3" w:rsidRDefault="00280125" w:rsidP="00335AFD">
            <w:pPr>
              <w:jc w:val="left"/>
              <w:rPr>
                <w:rFonts w:cs="Arial"/>
                <w:color w:val="FF0000"/>
                <w:szCs w:val="22"/>
                <w:highlight w:val="yellow"/>
              </w:rPr>
            </w:pPr>
          </w:p>
        </w:tc>
      </w:tr>
      <w:tr w:rsidR="0086268C" w:rsidRPr="00B764B2" w14:paraId="105926B8" w14:textId="77777777" w:rsidTr="00E349BA">
        <w:trPr>
          <w:trHeight w:val="19"/>
        </w:trPr>
        <w:tc>
          <w:tcPr>
            <w:tcW w:w="1731" w:type="dxa"/>
            <w:vMerge/>
            <w:tcBorders>
              <w:right w:val="single" w:sz="4" w:space="0" w:color="auto"/>
            </w:tcBorders>
            <w:shd w:val="clear" w:color="auto" w:fill="CCC0D9" w:themeFill="accent4" w:themeFillTint="66"/>
          </w:tcPr>
          <w:p w14:paraId="13BBDD96" w14:textId="77777777" w:rsidR="00280125" w:rsidRPr="004921A3" w:rsidRDefault="00280125" w:rsidP="00335AFD">
            <w:pPr>
              <w:jc w:val="left"/>
              <w:rPr>
                <w:rFonts w:cs="Arial"/>
                <w:b/>
                <w:color w:val="FF0000"/>
                <w:szCs w:val="22"/>
                <w:highlight w:val="yellow"/>
              </w:rPr>
            </w:pP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29307339" w14:textId="77777777" w:rsidR="00280125" w:rsidRPr="00142EC6" w:rsidRDefault="00F23164" w:rsidP="00EE50E6">
            <w:pPr>
              <w:pStyle w:val="SectionTitle"/>
              <w:spacing w:after="120"/>
              <w:jc w:val="both"/>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t xml:space="preserve">Part III: D </w:t>
            </w:r>
            <w:r w:rsidR="00F23B3B" w:rsidRPr="00142EC6">
              <w:rPr>
                <w:rFonts w:ascii="Arial" w:eastAsia="Times New Roman" w:hAnsi="Arial" w:cs="Arial"/>
                <w:b w:val="0"/>
                <w:smallCaps w:val="0"/>
                <w:sz w:val="22"/>
                <w:lang w:eastAsia="en-GB"/>
              </w:rPr>
              <w:t>Grounds relating to insolvency, conflicts of interests or professional misconduct</w:t>
            </w:r>
          </w:p>
        </w:tc>
        <w:tc>
          <w:tcPr>
            <w:tcW w:w="2048" w:type="dxa"/>
            <w:gridSpan w:val="2"/>
            <w:tcBorders>
              <w:left w:val="single" w:sz="4" w:space="0" w:color="auto"/>
              <w:bottom w:val="single" w:sz="4" w:space="0" w:color="auto"/>
            </w:tcBorders>
            <w:shd w:val="clear" w:color="auto" w:fill="FFFFFF"/>
          </w:tcPr>
          <w:p w14:paraId="42C1203B" w14:textId="77777777" w:rsidR="00280125" w:rsidRPr="00142EC6" w:rsidRDefault="00F23B3B" w:rsidP="00335AFD">
            <w:pPr>
              <w:jc w:val="left"/>
              <w:rPr>
                <w:rFonts w:cs="Arial"/>
                <w:szCs w:val="22"/>
              </w:rPr>
            </w:pPr>
            <w:r w:rsidRPr="00142EC6">
              <w:rPr>
                <w:rFonts w:cs="Arial"/>
                <w:szCs w:val="22"/>
              </w:rPr>
              <w:t>Pass/Fail</w:t>
            </w:r>
          </w:p>
        </w:tc>
        <w:tc>
          <w:tcPr>
            <w:tcW w:w="3055" w:type="dxa"/>
            <w:shd w:val="clear" w:color="auto" w:fill="FFFFFF"/>
          </w:tcPr>
          <w:p w14:paraId="05FE5F10" w14:textId="77777777" w:rsidR="00280125" w:rsidRPr="004921A3" w:rsidRDefault="00280125" w:rsidP="00335AFD">
            <w:pPr>
              <w:jc w:val="left"/>
              <w:rPr>
                <w:rFonts w:cs="Arial"/>
                <w:szCs w:val="22"/>
                <w:highlight w:val="yellow"/>
              </w:rPr>
            </w:pPr>
          </w:p>
        </w:tc>
        <w:tc>
          <w:tcPr>
            <w:tcW w:w="1417" w:type="dxa"/>
            <w:shd w:val="clear" w:color="auto" w:fill="FFFFFF"/>
          </w:tcPr>
          <w:p w14:paraId="0A91A44F" w14:textId="77777777" w:rsidR="00280125" w:rsidRPr="004921A3" w:rsidRDefault="00280125" w:rsidP="00335AFD">
            <w:pPr>
              <w:jc w:val="left"/>
              <w:rPr>
                <w:rFonts w:cs="Arial"/>
                <w:szCs w:val="22"/>
                <w:highlight w:val="yellow"/>
              </w:rPr>
            </w:pPr>
          </w:p>
        </w:tc>
      </w:tr>
      <w:tr w:rsidR="007A55D7" w:rsidRPr="00B764B2" w14:paraId="6236F007" w14:textId="77777777" w:rsidTr="00E349BA">
        <w:trPr>
          <w:trHeight w:val="19"/>
        </w:trPr>
        <w:tc>
          <w:tcPr>
            <w:tcW w:w="1731" w:type="dxa"/>
            <w:vMerge/>
            <w:tcBorders>
              <w:right w:val="single" w:sz="4" w:space="0" w:color="auto"/>
            </w:tcBorders>
            <w:shd w:val="clear" w:color="auto" w:fill="CCC0D9" w:themeFill="accent4" w:themeFillTint="66"/>
          </w:tcPr>
          <w:p w14:paraId="472F2747" w14:textId="77777777" w:rsidR="007A55D7" w:rsidRPr="004921A3" w:rsidRDefault="007A55D7" w:rsidP="00335AFD">
            <w:pPr>
              <w:jc w:val="left"/>
              <w:rPr>
                <w:rFonts w:cs="Arial"/>
                <w:b/>
                <w:color w:val="FF0000"/>
                <w:szCs w:val="22"/>
                <w:highlight w:val="yellow"/>
              </w:rPr>
            </w:pP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77029EBD" w14:textId="77777777" w:rsidR="007A55D7" w:rsidRPr="004921A3" w:rsidRDefault="007A55D7" w:rsidP="00EE50E6">
            <w:pPr>
              <w:pStyle w:val="SectionTitle"/>
              <w:spacing w:after="120"/>
              <w:jc w:val="both"/>
              <w:rPr>
                <w:rFonts w:ascii="Arial" w:eastAsia="Times New Roman" w:hAnsi="Arial" w:cs="Arial"/>
                <w:b w:val="0"/>
                <w:smallCaps w:val="0"/>
                <w:sz w:val="22"/>
                <w:highlight w:val="yellow"/>
                <w:lang w:eastAsia="en-GB"/>
              </w:rPr>
            </w:pP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tcPr>
          <w:p w14:paraId="3A90B198" w14:textId="77777777" w:rsidR="007A55D7" w:rsidRPr="004921A3" w:rsidRDefault="007A55D7" w:rsidP="00335AFD">
            <w:pPr>
              <w:jc w:val="left"/>
              <w:rPr>
                <w:rFonts w:cs="Arial"/>
                <w:szCs w:val="22"/>
                <w:highlight w:val="yellow"/>
              </w:rPr>
            </w:pPr>
          </w:p>
        </w:tc>
        <w:tc>
          <w:tcPr>
            <w:tcW w:w="3055" w:type="dxa"/>
            <w:tcBorders>
              <w:left w:val="single" w:sz="4" w:space="0" w:color="auto"/>
            </w:tcBorders>
            <w:shd w:val="clear" w:color="auto" w:fill="FFFFFF"/>
          </w:tcPr>
          <w:p w14:paraId="5BF9F4A6" w14:textId="77777777" w:rsidR="007A55D7" w:rsidRPr="004921A3" w:rsidRDefault="007A55D7" w:rsidP="00335AFD">
            <w:pPr>
              <w:jc w:val="left"/>
              <w:rPr>
                <w:rFonts w:cs="Arial"/>
                <w:szCs w:val="22"/>
                <w:highlight w:val="yellow"/>
              </w:rPr>
            </w:pPr>
          </w:p>
        </w:tc>
        <w:tc>
          <w:tcPr>
            <w:tcW w:w="1417" w:type="dxa"/>
            <w:shd w:val="clear" w:color="auto" w:fill="FFFFFF"/>
          </w:tcPr>
          <w:p w14:paraId="1F2B7BBE" w14:textId="77777777" w:rsidR="00FF207A" w:rsidRPr="004921A3" w:rsidRDefault="00FF207A" w:rsidP="00335AFD">
            <w:pPr>
              <w:jc w:val="left"/>
              <w:rPr>
                <w:rFonts w:cs="Arial"/>
                <w:szCs w:val="22"/>
                <w:highlight w:val="yellow"/>
              </w:rPr>
            </w:pPr>
          </w:p>
        </w:tc>
      </w:tr>
      <w:tr w:rsidR="001A159A" w:rsidRPr="00B764B2" w14:paraId="73949B34" w14:textId="77777777" w:rsidTr="00E349BA">
        <w:trPr>
          <w:trHeight w:val="1014"/>
        </w:trPr>
        <w:tc>
          <w:tcPr>
            <w:tcW w:w="1731" w:type="dxa"/>
            <w:vMerge/>
            <w:tcBorders>
              <w:right w:val="single" w:sz="4" w:space="0" w:color="auto"/>
            </w:tcBorders>
            <w:shd w:val="clear" w:color="auto" w:fill="CCC0D9" w:themeFill="accent4" w:themeFillTint="66"/>
          </w:tcPr>
          <w:p w14:paraId="70A32BBC" w14:textId="77777777" w:rsidR="001A159A" w:rsidRPr="004921A3" w:rsidRDefault="001A159A" w:rsidP="001A159A">
            <w:pPr>
              <w:jc w:val="left"/>
              <w:rPr>
                <w:rFonts w:cs="Arial"/>
                <w:b/>
                <w:color w:val="FF0000"/>
                <w:szCs w:val="22"/>
                <w:highlight w:val="yellow"/>
              </w:rPr>
            </w:pPr>
          </w:p>
        </w:tc>
        <w:tc>
          <w:tcPr>
            <w:tcW w:w="2948" w:type="dxa"/>
            <w:vMerge w:val="restart"/>
            <w:tcBorders>
              <w:top w:val="single" w:sz="4" w:space="0" w:color="auto"/>
              <w:left w:val="single" w:sz="4" w:space="0" w:color="auto"/>
              <w:right w:val="single" w:sz="4" w:space="0" w:color="auto"/>
            </w:tcBorders>
            <w:shd w:val="clear" w:color="auto" w:fill="FFFFFF"/>
          </w:tcPr>
          <w:p w14:paraId="3ED1BA6A" w14:textId="77777777" w:rsidR="001A159A" w:rsidRPr="00142EC6" w:rsidRDefault="001A159A" w:rsidP="001A159A">
            <w:pPr>
              <w:pStyle w:val="SectionTitle"/>
              <w:spacing w:after="120"/>
              <w:jc w:val="both"/>
              <w:rPr>
                <w:rFonts w:ascii="Arial" w:eastAsia="Times New Roman" w:hAnsi="Arial" w:cs="Arial"/>
                <w:b w:val="0"/>
                <w:smallCaps w:val="0"/>
                <w:sz w:val="22"/>
                <w:lang w:eastAsia="en-GB"/>
              </w:rPr>
            </w:pPr>
            <w:r w:rsidRPr="00142EC6">
              <w:rPr>
                <w:rFonts w:ascii="Arial" w:eastAsia="Times New Roman" w:hAnsi="Arial" w:cs="Arial"/>
                <w:b w:val="0"/>
                <w:smallCaps w:val="0"/>
                <w:sz w:val="22"/>
                <w:lang w:eastAsia="en-GB"/>
              </w:rPr>
              <w:br/>
            </w:r>
            <w:r w:rsidRPr="00142EC6">
              <w:rPr>
                <w:rFonts w:ascii="Arial" w:eastAsia="Times New Roman" w:hAnsi="Arial" w:cs="Arial"/>
                <w:b w:val="0"/>
                <w:smallCaps w:val="0"/>
                <w:sz w:val="22"/>
                <w:lang w:eastAsia="en-GB"/>
              </w:rPr>
              <w:br/>
              <w:t>Part IV: B economic and financial standing</w:t>
            </w:r>
          </w:p>
        </w:tc>
        <w:tc>
          <w:tcPr>
            <w:tcW w:w="2048" w:type="dxa"/>
            <w:gridSpan w:val="2"/>
            <w:vMerge w:val="restart"/>
            <w:tcBorders>
              <w:top w:val="single" w:sz="4" w:space="0" w:color="auto"/>
              <w:left w:val="single" w:sz="4" w:space="0" w:color="auto"/>
            </w:tcBorders>
            <w:shd w:val="clear" w:color="auto" w:fill="FFFFFF"/>
          </w:tcPr>
          <w:p w14:paraId="0EE95CBD" w14:textId="77777777" w:rsidR="001A159A" w:rsidRPr="00142EC6" w:rsidRDefault="001A159A" w:rsidP="001A159A">
            <w:pPr>
              <w:jc w:val="left"/>
              <w:rPr>
                <w:rFonts w:cs="Arial"/>
                <w:szCs w:val="22"/>
              </w:rPr>
            </w:pPr>
            <w:r w:rsidRPr="00142EC6">
              <w:rPr>
                <w:rFonts w:cs="Arial"/>
                <w:szCs w:val="22"/>
              </w:rPr>
              <w:br/>
            </w:r>
            <w:r w:rsidRPr="00142EC6">
              <w:rPr>
                <w:rFonts w:cs="Arial"/>
                <w:szCs w:val="22"/>
              </w:rPr>
              <w:br/>
              <w:t>Pass/Fail</w:t>
            </w:r>
          </w:p>
        </w:tc>
        <w:tc>
          <w:tcPr>
            <w:tcW w:w="3055" w:type="dxa"/>
            <w:shd w:val="clear" w:color="auto" w:fill="FFFFFF"/>
          </w:tcPr>
          <w:p w14:paraId="2997652D" w14:textId="77777777" w:rsidR="001A159A" w:rsidRPr="00142EC6" w:rsidRDefault="001A159A" w:rsidP="001A159A">
            <w:pPr>
              <w:jc w:val="left"/>
              <w:rPr>
                <w:rFonts w:cs="Arial"/>
                <w:szCs w:val="22"/>
              </w:rPr>
            </w:pPr>
            <w:r w:rsidRPr="00142EC6">
              <w:rPr>
                <w:rFonts w:cs="Arial"/>
                <w:szCs w:val="22"/>
              </w:rPr>
              <w:t>Insurance Levels</w:t>
            </w:r>
          </w:p>
          <w:p w14:paraId="301130C3" w14:textId="77777777" w:rsidR="001A159A" w:rsidRPr="00142EC6" w:rsidRDefault="001A159A" w:rsidP="001A159A">
            <w:pPr>
              <w:jc w:val="left"/>
              <w:rPr>
                <w:rFonts w:cs="Arial"/>
                <w:color w:val="FF0000"/>
                <w:szCs w:val="22"/>
              </w:rPr>
            </w:pPr>
          </w:p>
        </w:tc>
        <w:tc>
          <w:tcPr>
            <w:tcW w:w="1417" w:type="dxa"/>
            <w:shd w:val="clear" w:color="auto" w:fill="FFFFFF"/>
          </w:tcPr>
          <w:p w14:paraId="1E887246" w14:textId="77777777" w:rsidR="001A159A" w:rsidRPr="00142EC6" w:rsidRDefault="001A159A" w:rsidP="001A159A">
            <w:pPr>
              <w:jc w:val="left"/>
              <w:rPr>
                <w:rFonts w:cs="Arial"/>
                <w:color w:val="FF0000"/>
                <w:szCs w:val="22"/>
              </w:rPr>
            </w:pPr>
            <w:r w:rsidRPr="00142EC6">
              <w:rPr>
                <w:rFonts w:cs="Arial"/>
                <w:szCs w:val="22"/>
              </w:rPr>
              <w:t>Pass/Fail</w:t>
            </w:r>
          </w:p>
        </w:tc>
      </w:tr>
      <w:tr w:rsidR="001A159A" w:rsidRPr="00B764B2" w14:paraId="09F9B3F2" w14:textId="77777777" w:rsidTr="00E349BA">
        <w:trPr>
          <w:trHeight w:val="19"/>
        </w:trPr>
        <w:tc>
          <w:tcPr>
            <w:tcW w:w="1731" w:type="dxa"/>
            <w:vMerge/>
            <w:tcBorders>
              <w:right w:val="single" w:sz="4" w:space="0" w:color="auto"/>
            </w:tcBorders>
            <w:shd w:val="clear" w:color="auto" w:fill="CCC0D9" w:themeFill="accent4" w:themeFillTint="66"/>
          </w:tcPr>
          <w:p w14:paraId="27130770" w14:textId="77777777" w:rsidR="001A159A" w:rsidRPr="004921A3" w:rsidRDefault="001A159A" w:rsidP="001A159A">
            <w:pPr>
              <w:jc w:val="left"/>
              <w:rPr>
                <w:b/>
                <w:color w:val="FF0000"/>
                <w:highlight w:val="yellow"/>
              </w:rPr>
            </w:pPr>
          </w:p>
        </w:tc>
        <w:tc>
          <w:tcPr>
            <w:tcW w:w="2948" w:type="dxa"/>
            <w:vMerge/>
            <w:tcBorders>
              <w:left w:val="single" w:sz="4" w:space="0" w:color="auto"/>
              <w:bottom w:val="single" w:sz="4" w:space="0" w:color="auto"/>
              <w:right w:val="single" w:sz="4" w:space="0" w:color="auto"/>
            </w:tcBorders>
            <w:shd w:val="clear" w:color="auto" w:fill="FFFFFF"/>
          </w:tcPr>
          <w:p w14:paraId="20111CBF" w14:textId="77777777" w:rsidR="001A159A" w:rsidRPr="00142EC6" w:rsidRDefault="001A159A" w:rsidP="001A159A">
            <w:pPr>
              <w:pStyle w:val="SectionTitle"/>
              <w:spacing w:after="120"/>
              <w:jc w:val="both"/>
              <w:rPr>
                <w:rFonts w:ascii="Arial" w:eastAsia="Times New Roman" w:hAnsi="Arial" w:cs="Arial"/>
                <w:b w:val="0"/>
                <w:smallCaps w:val="0"/>
                <w:sz w:val="22"/>
                <w:lang w:eastAsia="en-GB"/>
              </w:rPr>
            </w:pPr>
          </w:p>
        </w:tc>
        <w:tc>
          <w:tcPr>
            <w:tcW w:w="2048" w:type="dxa"/>
            <w:gridSpan w:val="2"/>
            <w:vMerge/>
            <w:tcBorders>
              <w:left w:val="single" w:sz="4" w:space="0" w:color="auto"/>
            </w:tcBorders>
            <w:shd w:val="clear" w:color="auto" w:fill="FFFFFF"/>
          </w:tcPr>
          <w:p w14:paraId="4B8882AF" w14:textId="77777777" w:rsidR="001A159A" w:rsidRPr="00142EC6" w:rsidRDefault="001A159A" w:rsidP="001A159A">
            <w:pPr>
              <w:jc w:val="left"/>
              <w:rPr>
                <w:rFonts w:cs="Arial"/>
                <w:szCs w:val="22"/>
              </w:rPr>
            </w:pPr>
          </w:p>
        </w:tc>
        <w:tc>
          <w:tcPr>
            <w:tcW w:w="3055" w:type="dxa"/>
            <w:shd w:val="clear" w:color="auto" w:fill="FFFFFF"/>
          </w:tcPr>
          <w:p w14:paraId="4F0A4F5C" w14:textId="77777777" w:rsidR="001A159A" w:rsidRPr="00142EC6" w:rsidRDefault="001A159A" w:rsidP="001A159A">
            <w:pPr>
              <w:jc w:val="left"/>
              <w:rPr>
                <w:rFonts w:cs="Arial"/>
                <w:szCs w:val="22"/>
              </w:rPr>
            </w:pPr>
            <w:r w:rsidRPr="00142EC6">
              <w:rPr>
                <w:rFonts w:cs="Arial"/>
                <w:szCs w:val="22"/>
              </w:rPr>
              <w:t>Financial Account</w:t>
            </w:r>
          </w:p>
          <w:p w14:paraId="599369D1" w14:textId="77777777" w:rsidR="001A159A" w:rsidRPr="00142EC6" w:rsidRDefault="001A159A" w:rsidP="001A159A">
            <w:pPr>
              <w:jc w:val="left"/>
              <w:rPr>
                <w:rFonts w:eastAsia="Calibri" w:cs="Arial"/>
                <w:smallCaps/>
                <w:szCs w:val="22"/>
                <w:lang w:eastAsia="fr-FR"/>
              </w:rPr>
            </w:pPr>
          </w:p>
        </w:tc>
        <w:tc>
          <w:tcPr>
            <w:tcW w:w="1417" w:type="dxa"/>
            <w:shd w:val="clear" w:color="auto" w:fill="FFFFFF"/>
          </w:tcPr>
          <w:p w14:paraId="074F5843" w14:textId="77777777" w:rsidR="001A159A" w:rsidRPr="00142EC6" w:rsidRDefault="001A159A" w:rsidP="001A159A">
            <w:pPr>
              <w:jc w:val="left"/>
              <w:rPr>
                <w:rFonts w:eastAsia="Calibri" w:cs="Arial"/>
                <w:smallCaps/>
                <w:szCs w:val="22"/>
                <w:lang w:eastAsia="fr-FR"/>
              </w:rPr>
            </w:pPr>
            <w:r w:rsidRPr="00142EC6">
              <w:rPr>
                <w:rFonts w:cs="Arial"/>
                <w:szCs w:val="22"/>
              </w:rPr>
              <w:t>Pass/Fail</w:t>
            </w:r>
          </w:p>
        </w:tc>
      </w:tr>
      <w:tr w:rsidR="001A159A" w:rsidRPr="00B764B2" w14:paraId="39126D91" w14:textId="77777777" w:rsidTr="00E349BA">
        <w:trPr>
          <w:trHeight w:val="19"/>
        </w:trPr>
        <w:tc>
          <w:tcPr>
            <w:tcW w:w="1731" w:type="dxa"/>
            <w:shd w:val="clear" w:color="auto" w:fill="CCC0D9" w:themeFill="accent4" w:themeFillTint="66"/>
          </w:tcPr>
          <w:p w14:paraId="7D2E43B4" w14:textId="77777777" w:rsidR="001769B9" w:rsidRPr="004921A3" w:rsidRDefault="001769B9" w:rsidP="001A159A">
            <w:pPr>
              <w:jc w:val="left"/>
              <w:rPr>
                <w:b/>
                <w:color w:val="FF0000"/>
                <w:highlight w:val="yellow"/>
              </w:rPr>
            </w:pPr>
          </w:p>
        </w:tc>
        <w:tc>
          <w:tcPr>
            <w:tcW w:w="2948" w:type="dxa"/>
            <w:tcBorders>
              <w:top w:val="single" w:sz="4" w:space="0" w:color="auto"/>
            </w:tcBorders>
            <w:shd w:val="clear" w:color="auto" w:fill="FFFFFF"/>
          </w:tcPr>
          <w:p w14:paraId="72E83B9C" w14:textId="66CA29F0" w:rsidR="005D3E23" w:rsidRPr="004921A3" w:rsidRDefault="000A2C34" w:rsidP="001A159A">
            <w:pPr>
              <w:rPr>
                <w:highlight w:val="yellow"/>
              </w:rPr>
            </w:pPr>
            <w:r>
              <w:rPr>
                <w:highlight w:val="yellow"/>
              </w:rPr>
              <w:t>Part IV:  C  Experience</w:t>
            </w:r>
          </w:p>
        </w:tc>
        <w:tc>
          <w:tcPr>
            <w:tcW w:w="2048" w:type="dxa"/>
            <w:gridSpan w:val="2"/>
            <w:shd w:val="clear" w:color="auto" w:fill="FFFFFF"/>
          </w:tcPr>
          <w:p w14:paraId="5243CD2D" w14:textId="35D27840" w:rsidR="001A159A" w:rsidRPr="004921A3" w:rsidRDefault="00822440" w:rsidP="001A159A">
            <w:pPr>
              <w:jc w:val="left"/>
              <w:rPr>
                <w:rFonts w:cs="Arial"/>
                <w:szCs w:val="22"/>
                <w:highlight w:val="yellow"/>
              </w:rPr>
            </w:pPr>
            <w:r w:rsidRPr="00822440">
              <w:rPr>
                <w:rFonts w:cs="Arial"/>
                <w:szCs w:val="22"/>
              </w:rPr>
              <w:t>Pass/Fail</w:t>
            </w:r>
          </w:p>
        </w:tc>
        <w:tc>
          <w:tcPr>
            <w:tcW w:w="3055" w:type="dxa"/>
            <w:shd w:val="clear" w:color="auto" w:fill="FFFFFF"/>
          </w:tcPr>
          <w:p w14:paraId="0E231AC8" w14:textId="2593E55A" w:rsidR="001A159A" w:rsidRPr="004921A3" w:rsidRDefault="00822440" w:rsidP="001A159A">
            <w:pPr>
              <w:jc w:val="left"/>
              <w:rPr>
                <w:rFonts w:eastAsia="Calibri" w:cs="Arial"/>
                <w:smallCaps/>
                <w:szCs w:val="22"/>
                <w:highlight w:val="yellow"/>
                <w:lang w:eastAsia="fr-FR"/>
              </w:rPr>
            </w:pPr>
            <w:r>
              <w:rPr>
                <w:rFonts w:eastAsia="Calibri" w:cs="Arial"/>
                <w:smallCaps/>
                <w:szCs w:val="22"/>
                <w:highlight w:val="yellow"/>
                <w:lang w:eastAsia="fr-FR"/>
              </w:rPr>
              <w:t>Experience</w:t>
            </w:r>
          </w:p>
        </w:tc>
        <w:tc>
          <w:tcPr>
            <w:tcW w:w="1417" w:type="dxa"/>
            <w:shd w:val="clear" w:color="auto" w:fill="FFFFFF"/>
          </w:tcPr>
          <w:p w14:paraId="73C71F8E" w14:textId="036CB9ED" w:rsidR="001A159A" w:rsidRPr="004921A3" w:rsidRDefault="00822440" w:rsidP="001A159A">
            <w:pPr>
              <w:jc w:val="left"/>
              <w:rPr>
                <w:rFonts w:eastAsia="Calibri" w:cs="Arial"/>
                <w:smallCaps/>
                <w:szCs w:val="22"/>
                <w:highlight w:val="yellow"/>
                <w:lang w:eastAsia="fr-FR"/>
              </w:rPr>
            </w:pPr>
            <w:r w:rsidRPr="00473D92">
              <w:rPr>
                <w:rFonts w:eastAsia="Calibri" w:cs="Arial"/>
                <w:smallCaps/>
                <w:szCs w:val="22"/>
                <w:lang w:eastAsia="fr-FR"/>
              </w:rPr>
              <w:t>Pass/Fail</w:t>
            </w:r>
          </w:p>
        </w:tc>
      </w:tr>
      <w:tr w:rsidR="001A159A" w:rsidRPr="00B764B2" w14:paraId="554E35FD" w14:textId="77777777" w:rsidTr="00B82FCE">
        <w:trPr>
          <w:trHeight w:val="19"/>
        </w:trPr>
        <w:tc>
          <w:tcPr>
            <w:tcW w:w="11199" w:type="dxa"/>
            <w:gridSpan w:val="6"/>
            <w:tcBorders>
              <w:bottom w:val="single" w:sz="4" w:space="0" w:color="000000"/>
            </w:tcBorders>
            <w:shd w:val="clear" w:color="auto" w:fill="CCC0D9" w:themeFill="accent4" w:themeFillTint="66"/>
          </w:tcPr>
          <w:p w14:paraId="13022B92" w14:textId="4043D163" w:rsidR="001A159A" w:rsidRPr="004921A3" w:rsidRDefault="001A159A" w:rsidP="001A159A">
            <w:pPr>
              <w:jc w:val="center"/>
              <w:rPr>
                <w:b/>
                <w:highlight w:val="yellow"/>
              </w:rPr>
            </w:pPr>
            <w:r w:rsidRPr="004921A3" w:rsidDel="00307E92">
              <w:rPr>
                <w:b/>
                <w:highlight w:val="yellow"/>
              </w:rPr>
              <w:t xml:space="preserve"> </w:t>
            </w:r>
            <w:r w:rsidR="00DE228B">
              <w:rPr>
                <w:b/>
                <w:highlight w:val="yellow"/>
              </w:rPr>
              <w:t>Technical Envelope</w:t>
            </w:r>
            <w:r w:rsidR="0083005E">
              <w:rPr>
                <w:b/>
                <w:highlight w:val="yellow"/>
              </w:rPr>
              <w:t xml:space="preserve"> Weightings</w:t>
            </w:r>
            <w:r w:rsidR="00DE228B">
              <w:rPr>
                <w:b/>
                <w:highlight w:val="yellow"/>
              </w:rPr>
              <w:t xml:space="preserve"> – 7</w:t>
            </w:r>
            <w:r w:rsidRPr="004921A3">
              <w:rPr>
                <w:b/>
                <w:highlight w:val="yellow"/>
              </w:rPr>
              <w:t>0%</w:t>
            </w:r>
          </w:p>
        </w:tc>
      </w:tr>
      <w:tr w:rsidR="001A159A" w:rsidRPr="00B764B2" w14:paraId="5B92153B" w14:textId="77777777" w:rsidTr="00E349BA">
        <w:trPr>
          <w:trHeight w:val="623"/>
        </w:trPr>
        <w:tc>
          <w:tcPr>
            <w:tcW w:w="1731" w:type="dxa"/>
            <w:vMerge w:val="restart"/>
            <w:tcBorders>
              <w:top w:val="single" w:sz="4" w:space="0" w:color="auto"/>
              <w:left w:val="single" w:sz="4" w:space="0" w:color="auto"/>
              <w:bottom w:val="nil"/>
              <w:right w:val="single" w:sz="4" w:space="0" w:color="auto"/>
            </w:tcBorders>
            <w:shd w:val="clear" w:color="auto" w:fill="CCC0D9" w:themeFill="accent4" w:themeFillTint="66"/>
          </w:tcPr>
          <w:p w14:paraId="3479FC5C" w14:textId="77777777" w:rsidR="001A159A" w:rsidRPr="004921A3" w:rsidRDefault="001A159A" w:rsidP="001A159A">
            <w:pPr>
              <w:jc w:val="left"/>
              <w:rPr>
                <w:b/>
                <w:highlight w:val="yellow"/>
              </w:rPr>
            </w:pPr>
          </w:p>
        </w:tc>
        <w:tc>
          <w:tcPr>
            <w:tcW w:w="2948" w:type="dxa"/>
            <w:tcBorders>
              <w:left w:val="single" w:sz="4" w:space="0" w:color="auto"/>
            </w:tcBorders>
            <w:shd w:val="clear" w:color="auto" w:fill="FFFFFF" w:themeFill="background1"/>
          </w:tcPr>
          <w:p w14:paraId="46D319E8" w14:textId="7D763596" w:rsidR="00FD656D" w:rsidRPr="0083005E" w:rsidRDefault="005D3E23" w:rsidP="001A159A">
            <w:pPr>
              <w:jc w:val="left"/>
              <w:rPr>
                <w:b/>
                <w:sz w:val="24"/>
                <w:szCs w:val="24"/>
              </w:rPr>
            </w:pPr>
            <w:r w:rsidRPr="00FD656D">
              <w:rPr>
                <w:b/>
                <w:sz w:val="24"/>
                <w:szCs w:val="24"/>
              </w:rPr>
              <w:t>Service Delivery</w:t>
            </w:r>
          </w:p>
        </w:tc>
        <w:tc>
          <w:tcPr>
            <w:tcW w:w="1134" w:type="dxa"/>
            <w:shd w:val="clear" w:color="auto" w:fill="FFFFFF"/>
          </w:tcPr>
          <w:p w14:paraId="2B95B3DF" w14:textId="275AE452" w:rsidR="001A159A" w:rsidRPr="004921A3" w:rsidRDefault="005028DD" w:rsidP="001A159A">
            <w:pPr>
              <w:jc w:val="center"/>
              <w:rPr>
                <w:highlight w:val="yellow"/>
              </w:rPr>
            </w:pPr>
            <w:r>
              <w:rPr>
                <w:highlight w:val="yellow"/>
              </w:rPr>
              <w:t>70</w:t>
            </w:r>
            <w:r w:rsidR="00E70788">
              <w:rPr>
                <w:highlight w:val="yellow"/>
              </w:rPr>
              <w:t xml:space="preserve">% </w:t>
            </w:r>
          </w:p>
        </w:tc>
        <w:tc>
          <w:tcPr>
            <w:tcW w:w="3969" w:type="dxa"/>
            <w:gridSpan w:val="2"/>
            <w:shd w:val="clear" w:color="auto" w:fill="FFFFFF"/>
          </w:tcPr>
          <w:p w14:paraId="29223CA4" w14:textId="6D1F458C" w:rsidR="001A159A" w:rsidRPr="004529D3" w:rsidRDefault="00315A09" w:rsidP="001A159A">
            <w:pPr>
              <w:jc w:val="left"/>
              <w:rPr>
                <w:i/>
              </w:rPr>
            </w:pPr>
            <w:r w:rsidRPr="004529D3">
              <w:rPr>
                <w:i/>
              </w:rPr>
              <w:t>Sub weightings</w:t>
            </w:r>
            <w:r w:rsidR="004529D3" w:rsidRPr="004529D3">
              <w:rPr>
                <w:i/>
              </w:rPr>
              <w:t xml:space="preserve"> &amp; applicable questions</w:t>
            </w:r>
          </w:p>
        </w:tc>
        <w:tc>
          <w:tcPr>
            <w:tcW w:w="1417" w:type="dxa"/>
            <w:shd w:val="clear" w:color="auto" w:fill="FFFFFF"/>
          </w:tcPr>
          <w:p w14:paraId="217D361F" w14:textId="6DE2216C" w:rsidR="001A159A" w:rsidRPr="004921A3" w:rsidRDefault="001A159A" w:rsidP="001A159A">
            <w:pPr>
              <w:jc w:val="center"/>
              <w:rPr>
                <w:highlight w:val="yellow"/>
              </w:rPr>
            </w:pPr>
          </w:p>
        </w:tc>
      </w:tr>
      <w:tr w:rsidR="00AB59AC" w:rsidRPr="00B764B2" w14:paraId="2FBC2F91"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0E456DB3" w14:textId="77777777" w:rsidR="00AB59AC" w:rsidRPr="004921A3" w:rsidRDefault="00AB59AC" w:rsidP="001A159A">
            <w:pPr>
              <w:jc w:val="left"/>
              <w:rPr>
                <w:b/>
                <w:highlight w:val="yellow"/>
              </w:rPr>
            </w:pPr>
          </w:p>
        </w:tc>
        <w:tc>
          <w:tcPr>
            <w:tcW w:w="2948" w:type="dxa"/>
            <w:tcBorders>
              <w:left w:val="single" w:sz="4" w:space="0" w:color="auto"/>
            </w:tcBorders>
            <w:shd w:val="clear" w:color="auto" w:fill="FFFFFF" w:themeFill="background1"/>
          </w:tcPr>
          <w:p w14:paraId="188E29C5" w14:textId="311A6E53" w:rsidR="00AB59AC" w:rsidRPr="00152D2E" w:rsidRDefault="00AB59AC" w:rsidP="001A159A">
            <w:pPr>
              <w:jc w:val="left"/>
              <w:rPr>
                <w:szCs w:val="22"/>
                <w:highlight w:val="yellow"/>
              </w:rPr>
            </w:pPr>
          </w:p>
        </w:tc>
        <w:tc>
          <w:tcPr>
            <w:tcW w:w="1134" w:type="dxa"/>
            <w:shd w:val="clear" w:color="auto" w:fill="FFFFFF"/>
          </w:tcPr>
          <w:p w14:paraId="20E537D2" w14:textId="2A183831" w:rsidR="00AB59AC" w:rsidRPr="004921A3" w:rsidRDefault="00AB59AC" w:rsidP="001A159A">
            <w:pPr>
              <w:jc w:val="center"/>
              <w:rPr>
                <w:highlight w:val="yellow"/>
              </w:rPr>
            </w:pPr>
          </w:p>
        </w:tc>
        <w:tc>
          <w:tcPr>
            <w:tcW w:w="3969" w:type="dxa"/>
            <w:gridSpan w:val="2"/>
            <w:shd w:val="clear" w:color="auto" w:fill="FFFFFF"/>
          </w:tcPr>
          <w:p w14:paraId="149B312F" w14:textId="411E2267" w:rsidR="00AB59AC" w:rsidRPr="004921A3" w:rsidRDefault="00AB59AC" w:rsidP="001A159A">
            <w:pPr>
              <w:jc w:val="left"/>
              <w:rPr>
                <w:highlight w:val="yellow"/>
              </w:rPr>
            </w:pPr>
            <w:r w:rsidRPr="00152D2E">
              <w:rPr>
                <w:szCs w:val="22"/>
              </w:rPr>
              <w:t>Compliance with Specification</w:t>
            </w:r>
            <w:r>
              <w:rPr>
                <w:szCs w:val="22"/>
              </w:rPr>
              <w:t>, Q1</w:t>
            </w:r>
          </w:p>
        </w:tc>
        <w:tc>
          <w:tcPr>
            <w:tcW w:w="1417" w:type="dxa"/>
            <w:shd w:val="clear" w:color="auto" w:fill="FFFFFF"/>
            <w:vAlign w:val="center"/>
          </w:tcPr>
          <w:p w14:paraId="20BA8CE7" w14:textId="6144334C" w:rsidR="00AB59AC" w:rsidRPr="004921A3" w:rsidRDefault="00316C33" w:rsidP="001A159A">
            <w:pPr>
              <w:jc w:val="center"/>
              <w:rPr>
                <w:highlight w:val="yellow"/>
              </w:rPr>
            </w:pPr>
            <w:r>
              <w:rPr>
                <w:rFonts w:cs="Arial"/>
                <w:color w:val="000000"/>
                <w:szCs w:val="22"/>
                <w:highlight w:val="yellow"/>
              </w:rPr>
              <w:t>8</w:t>
            </w:r>
            <w:r w:rsidR="00AB59AC">
              <w:rPr>
                <w:rFonts w:cs="Arial"/>
                <w:color w:val="000000"/>
                <w:szCs w:val="22"/>
                <w:highlight w:val="yellow"/>
              </w:rPr>
              <w:t>%</w:t>
            </w:r>
          </w:p>
        </w:tc>
      </w:tr>
      <w:tr w:rsidR="00AB59AC" w:rsidRPr="00B764B2" w14:paraId="3CE84B97"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6179A99C" w14:textId="77777777" w:rsidR="00AB59AC" w:rsidRPr="00107502" w:rsidRDefault="00AB59AC" w:rsidP="00E70788">
            <w:pPr>
              <w:jc w:val="left"/>
              <w:rPr>
                <w:b/>
                <w:sz w:val="24"/>
                <w:highlight w:val="yellow"/>
              </w:rPr>
            </w:pPr>
          </w:p>
        </w:tc>
        <w:tc>
          <w:tcPr>
            <w:tcW w:w="2948" w:type="dxa"/>
            <w:tcBorders>
              <w:left w:val="single" w:sz="4" w:space="0" w:color="auto"/>
            </w:tcBorders>
            <w:shd w:val="clear" w:color="auto" w:fill="FFFFFF"/>
          </w:tcPr>
          <w:p w14:paraId="136CC102" w14:textId="2535CF2D" w:rsidR="00AB59AC" w:rsidRPr="00152D2E" w:rsidRDefault="00AB59AC" w:rsidP="00E70788">
            <w:pPr>
              <w:jc w:val="left"/>
              <w:rPr>
                <w:szCs w:val="22"/>
                <w:highlight w:val="yellow"/>
              </w:rPr>
            </w:pPr>
          </w:p>
        </w:tc>
        <w:tc>
          <w:tcPr>
            <w:tcW w:w="1134" w:type="dxa"/>
            <w:shd w:val="clear" w:color="auto" w:fill="FFFFFF"/>
          </w:tcPr>
          <w:p w14:paraId="4E351C74" w14:textId="366A3554" w:rsidR="00AB59AC" w:rsidRPr="00107502" w:rsidRDefault="00AB59AC" w:rsidP="00E70788">
            <w:pPr>
              <w:jc w:val="center"/>
              <w:rPr>
                <w:sz w:val="24"/>
                <w:highlight w:val="yellow"/>
              </w:rPr>
            </w:pPr>
          </w:p>
        </w:tc>
        <w:tc>
          <w:tcPr>
            <w:tcW w:w="3969" w:type="dxa"/>
            <w:gridSpan w:val="2"/>
            <w:tcBorders>
              <w:left w:val="single" w:sz="4" w:space="0" w:color="auto"/>
            </w:tcBorders>
            <w:shd w:val="clear" w:color="auto" w:fill="FFFFFF"/>
          </w:tcPr>
          <w:p w14:paraId="669166DB" w14:textId="74861AD0" w:rsidR="00AB59AC" w:rsidRPr="00107502" w:rsidRDefault="00AB59AC" w:rsidP="00E70788">
            <w:pPr>
              <w:jc w:val="left"/>
              <w:rPr>
                <w:rFonts w:cs="Arial"/>
                <w:sz w:val="24"/>
                <w:szCs w:val="22"/>
                <w:highlight w:val="yellow"/>
              </w:rPr>
            </w:pPr>
            <w:r w:rsidRPr="00152D2E">
              <w:rPr>
                <w:szCs w:val="22"/>
              </w:rPr>
              <w:t>Core VLE Functionality</w:t>
            </w:r>
            <w:r>
              <w:rPr>
                <w:szCs w:val="22"/>
              </w:rPr>
              <w:t>, Q2</w:t>
            </w:r>
          </w:p>
        </w:tc>
        <w:tc>
          <w:tcPr>
            <w:tcW w:w="1417" w:type="dxa"/>
            <w:shd w:val="clear" w:color="auto" w:fill="FFFFFF"/>
            <w:vAlign w:val="center"/>
          </w:tcPr>
          <w:p w14:paraId="7323BBCB" w14:textId="335AE767" w:rsidR="00AB59AC" w:rsidRPr="00107502" w:rsidRDefault="00BE5D4A" w:rsidP="00E70788">
            <w:pPr>
              <w:jc w:val="center"/>
              <w:rPr>
                <w:rFonts w:cs="Arial"/>
                <w:sz w:val="24"/>
                <w:szCs w:val="22"/>
                <w:highlight w:val="yellow"/>
              </w:rPr>
            </w:pPr>
            <w:r>
              <w:rPr>
                <w:rFonts w:cs="Arial"/>
                <w:color w:val="000000"/>
                <w:highlight w:val="yellow"/>
              </w:rPr>
              <w:t>9</w:t>
            </w:r>
            <w:r w:rsidR="00AB59AC">
              <w:rPr>
                <w:rFonts w:cs="Arial"/>
                <w:color w:val="000000"/>
                <w:highlight w:val="yellow"/>
              </w:rPr>
              <w:t>%</w:t>
            </w:r>
          </w:p>
        </w:tc>
      </w:tr>
      <w:tr w:rsidR="00AB59AC" w:rsidRPr="00B764B2" w14:paraId="3C1D6A04"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36A8A89D" w14:textId="77777777" w:rsidR="00AB59AC" w:rsidRPr="00107502" w:rsidRDefault="00AB59AC" w:rsidP="00E70788">
            <w:pPr>
              <w:jc w:val="left"/>
              <w:rPr>
                <w:b/>
                <w:sz w:val="24"/>
                <w:highlight w:val="yellow"/>
              </w:rPr>
            </w:pPr>
          </w:p>
        </w:tc>
        <w:tc>
          <w:tcPr>
            <w:tcW w:w="2948" w:type="dxa"/>
            <w:tcBorders>
              <w:left w:val="single" w:sz="4" w:space="0" w:color="auto"/>
            </w:tcBorders>
          </w:tcPr>
          <w:p w14:paraId="7F5950D2" w14:textId="1C59B802" w:rsidR="00AB59AC" w:rsidRPr="00152D2E" w:rsidRDefault="00AB59AC" w:rsidP="00E70788">
            <w:pPr>
              <w:jc w:val="left"/>
              <w:rPr>
                <w:szCs w:val="22"/>
                <w:highlight w:val="yellow"/>
              </w:rPr>
            </w:pPr>
          </w:p>
        </w:tc>
        <w:tc>
          <w:tcPr>
            <w:tcW w:w="1134" w:type="dxa"/>
          </w:tcPr>
          <w:p w14:paraId="207E7490" w14:textId="238C981B" w:rsidR="00AB59AC" w:rsidRPr="00107502" w:rsidRDefault="00AB59AC" w:rsidP="00E70788">
            <w:pPr>
              <w:jc w:val="center"/>
              <w:rPr>
                <w:sz w:val="24"/>
                <w:highlight w:val="yellow"/>
              </w:rPr>
            </w:pPr>
          </w:p>
        </w:tc>
        <w:tc>
          <w:tcPr>
            <w:tcW w:w="3969" w:type="dxa"/>
            <w:gridSpan w:val="2"/>
            <w:tcBorders>
              <w:left w:val="single" w:sz="4" w:space="0" w:color="auto"/>
            </w:tcBorders>
          </w:tcPr>
          <w:p w14:paraId="2E4A7DEC" w14:textId="09C93332" w:rsidR="00AB59AC" w:rsidRPr="00107502" w:rsidRDefault="00AB59AC" w:rsidP="00E70788">
            <w:pPr>
              <w:jc w:val="left"/>
              <w:rPr>
                <w:sz w:val="24"/>
                <w:highlight w:val="yellow"/>
              </w:rPr>
            </w:pPr>
            <w:r>
              <w:rPr>
                <w:szCs w:val="22"/>
              </w:rPr>
              <w:t>Course Testing (GSA), Q 3.1</w:t>
            </w:r>
          </w:p>
        </w:tc>
        <w:tc>
          <w:tcPr>
            <w:tcW w:w="1417" w:type="dxa"/>
            <w:vAlign w:val="center"/>
          </w:tcPr>
          <w:p w14:paraId="7ACD96C1" w14:textId="6E6E4189" w:rsidR="00AB59AC" w:rsidRPr="00107502" w:rsidRDefault="00BE5D4A" w:rsidP="00E70788">
            <w:pPr>
              <w:jc w:val="center"/>
              <w:rPr>
                <w:sz w:val="24"/>
                <w:highlight w:val="yellow"/>
              </w:rPr>
            </w:pPr>
            <w:r>
              <w:rPr>
                <w:rFonts w:cs="Arial"/>
                <w:color w:val="000000"/>
                <w:highlight w:val="yellow"/>
              </w:rPr>
              <w:t>10</w:t>
            </w:r>
            <w:r w:rsidR="00AB59AC">
              <w:rPr>
                <w:rFonts w:cs="Arial"/>
                <w:color w:val="000000"/>
                <w:highlight w:val="yellow"/>
              </w:rPr>
              <w:t>%</w:t>
            </w:r>
          </w:p>
        </w:tc>
      </w:tr>
      <w:tr w:rsidR="00AB59AC" w:rsidRPr="00B764B2" w14:paraId="0E48BBEA"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519878E9" w14:textId="77777777" w:rsidR="00AB59AC" w:rsidRPr="00107502" w:rsidRDefault="00AB59AC" w:rsidP="00E70788">
            <w:pPr>
              <w:jc w:val="left"/>
              <w:rPr>
                <w:b/>
                <w:sz w:val="24"/>
                <w:highlight w:val="yellow"/>
              </w:rPr>
            </w:pPr>
          </w:p>
        </w:tc>
        <w:tc>
          <w:tcPr>
            <w:tcW w:w="2948" w:type="dxa"/>
            <w:tcBorders>
              <w:left w:val="single" w:sz="4" w:space="0" w:color="auto"/>
            </w:tcBorders>
          </w:tcPr>
          <w:p w14:paraId="616359A2" w14:textId="77777777" w:rsidR="00AB59AC" w:rsidRPr="00152D2E" w:rsidRDefault="00AB59AC" w:rsidP="00E70788">
            <w:pPr>
              <w:jc w:val="left"/>
              <w:rPr>
                <w:szCs w:val="22"/>
                <w:highlight w:val="yellow"/>
              </w:rPr>
            </w:pPr>
          </w:p>
        </w:tc>
        <w:tc>
          <w:tcPr>
            <w:tcW w:w="1134" w:type="dxa"/>
          </w:tcPr>
          <w:p w14:paraId="3B7297A2" w14:textId="77777777" w:rsidR="00AB59AC" w:rsidRPr="00107502" w:rsidRDefault="00AB59AC" w:rsidP="00E70788">
            <w:pPr>
              <w:jc w:val="center"/>
              <w:rPr>
                <w:sz w:val="24"/>
                <w:highlight w:val="yellow"/>
              </w:rPr>
            </w:pPr>
          </w:p>
        </w:tc>
        <w:tc>
          <w:tcPr>
            <w:tcW w:w="3969" w:type="dxa"/>
            <w:gridSpan w:val="2"/>
            <w:tcBorders>
              <w:left w:val="single" w:sz="4" w:space="0" w:color="auto"/>
            </w:tcBorders>
          </w:tcPr>
          <w:p w14:paraId="362FFE64" w14:textId="06BDC7A1" w:rsidR="00AB59AC" w:rsidRDefault="00AB59AC" w:rsidP="00E70788">
            <w:pPr>
              <w:jc w:val="left"/>
              <w:rPr>
                <w:szCs w:val="22"/>
              </w:rPr>
            </w:pPr>
            <w:r>
              <w:rPr>
                <w:szCs w:val="22"/>
              </w:rPr>
              <w:t>Course Testing, (Sector), Q 3.2</w:t>
            </w:r>
          </w:p>
        </w:tc>
        <w:tc>
          <w:tcPr>
            <w:tcW w:w="1417" w:type="dxa"/>
            <w:vAlign w:val="center"/>
          </w:tcPr>
          <w:p w14:paraId="6A3F0251" w14:textId="58FE073D" w:rsidR="00AB59AC" w:rsidRDefault="00AB59AC" w:rsidP="00E70788">
            <w:pPr>
              <w:jc w:val="center"/>
              <w:rPr>
                <w:sz w:val="24"/>
                <w:highlight w:val="yellow"/>
              </w:rPr>
            </w:pPr>
            <w:r>
              <w:rPr>
                <w:rFonts w:cs="Arial"/>
                <w:color w:val="000000"/>
                <w:highlight w:val="yellow"/>
              </w:rPr>
              <w:t>5%</w:t>
            </w:r>
          </w:p>
        </w:tc>
      </w:tr>
      <w:tr w:rsidR="00AB59AC" w:rsidRPr="00B764B2" w14:paraId="7F7EC365"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7284771A" w14:textId="77777777" w:rsidR="00AB59AC" w:rsidRPr="00107502" w:rsidRDefault="00AB59AC" w:rsidP="00E70788">
            <w:pPr>
              <w:jc w:val="left"/>
              <w:rPr>
                <w:b/>
                <w:sz w:val="24"/>
                <w:highlight w:val="yellow"/>
              </w:rPr>
            </w:pPr>
          </w:p>
        </w:tc>
        <w:tc>
          <w:tcPr>
            <w:tcW w:w="2948" w:type="dxa"/>
            <w:tcBorders>
              <w:left w:val="single" w:sz="4" w:space="0" w:color="auto"/>
            </w:tcBorders>
          </w:tcPr>
          <w:p w14:paraId="5EDA2418" w14:textId="77777777" w:rsidR="00AB59AC" w:rsidRPr="00152D2E" w:rsidRDefault="00AB59AC" w:rsidP="00E70788">
            <w:pPr>
              <w:jc w:val="left"/>
              <w:rPr>
                <w:szCs w:val="22"/>
                <w:highlight w:val="yellow"/>
              </w:rPr>
            </w:pPr>
          </w:p>
        </w:tc>
        <w:tc>
          <w:tcPr>
            <w:tcW w:w="1134" w:type="dxa"/>
          </w:tcPr>
          <w:p w14:paraId="71A78C1A" w14:textId="77777777" w:rsidR="00AB59AC" w:rsidRPr="00107502" w:rsidRDefault="00AB59AC" w:rsidP="00E70788">
            <w:pPr>
              <w:jc w:val="center"/>
              <w:rPr>
                <w:sz w:val="24"/>
                <w:highlight w:val="yellow"/>
              </w:rPr>
            </w:pPr>
          </w:p>
        </w:tc>
        <w:tc>
          <w:tcPr>
            <w:tcW w:w="3969" w:type="dxa"/>
            <w:gridSpan w:val="2"/>
            <w:tcBorders>
              <w:left w:val="single" w:sz="4" w:space="0" w:color="auto"/>
            </w:tcBorders>
          </w:tcPr>
          <w:p w14:paraId="43B6A40D" w14:textId="22C9DFF3" w:rsidR="00AB59AC" w:rsidRPr="00152D2E" w:rsidRDefault="00AB59AC" w:rsidP="00E70788">
            <w:pPr>
              <w:jc w:val="left"/>
              <w:rPr>
                <w:szCs w:val="22"/>
              </w:rPr>
            </w:pPr>
            <w:r>
              <w:rPr>
                <w:szCs w:val="22"/>
              </w:rPr>
              <w:t>Integration and Extension Capabilities, Q4</w:t>
            </w:r>
          </w:p>
        </w:tc>
        <w:tc>
          <w:tcPr>
            <w:tcW w:w="1417" w:type="dxa"/>
            <w:vAlign w:val="center"/>
          </w:tcPr>
          <w:p w14:paraId="50C0620F" w14:textId="5B1D027F" w:rsidR="00AB59AC" w:rsidRDefault="00AB59AC" w:rsidP="00AB59AC">
            <w:pPr>
              <w:tabs>
                <w:tab w:val="left" w:pos="418"/>
              </w:tabs>
              <w:jc w:val="center"/>
              <w:rPr>
                <w:sz w:val="24"/>
                <w:highlight w:val="yellow"/>
              </w:rPr>
            </w:pPr>
            <w:r>
              <w:rPr>
                <w:rFonts w:cs="Arial"/>
                <w:color w:val="000000"/>
                <w:highlight w:val="yellow"/>
              </w:rPr>
              <w:t>5%</w:t>
            </w:r>
          </w:p>
        </w:tc>
      </w:tr>
      <w:tr w:rsidR="00AB59AC" w:rsidRPr="00B764B2" w14:paraId="058E877A"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32C3B155" w14:textId="77777777" w:rsidR="00AB59AC" w:rsidRPr="00107502" w:rsidRDefault="00AB59AC" w:rsidP="00E70788">
            <w:pPr>
              <w:jc w:val="left"/>
              <w:rPr>
                <w:b/>
                <w:sz w:val="24"/>
                <w:highlight w:val="yellow"/>
              </w:rPr>
            </w:pPr>
          </w:p>
        </w:tc>
        <w:tc>
          <w:tcPr>
            <w:tcW w:w="2948" w:type="dxa"/>
            <w:tcBorders>
              <w:left w:val="single" w:sz="4" w:space="0" w:color="auto"/>
            </w:tcBorders>
          </w:tcPr>
          <w:p w14:paraId="1876C560" w14:textId="77777777" w:rsidR="00AB59AC" w:rsidRPr="00152D2E" w:rsidRDefault="00AB59AC" w:rsidP="00E70788">
            <w:pPr>
              <w:jc w:val="left"/>
              <w:rPr>
                <w:szCs w:val="22"/>
                <w:highlight w:val="yellow"/>
              </w:rPr>
            </w:pPr>
          </w:p>
        </w:tc>
        <w:tc>
          <w:tcPr>
            <w:tcW w:w="1134" w:type="dxa"/>
          </w:tcPr>
          <w:p w14:paraId="1F7EAFE5" w14:textId="77777777" w:rsidR="00AB59AC" w:rsidRPr="00107502" w:rsidRDefault="00AB59AC" w:rsidP="00E70788">
            <w:pPr>
              <w:jc w:val="center"/>
              <w:rPr>
                <w:sz w:val="24"/>
                <w:highlight w:val="yellow"/>
              </w:rPr>
            </w:pPr>
          </w:p>
        </w:tc>
        <w:tc>
          <w:tcPr>
            <w:tcW w:w="3969" w:type="dxa"/>
            <w:gridSpan w:val="2"/>
            <w:tcBorders>
              <w:left w:val="single" w:sz="4" w:space="0" w:color="auto"/>
            </w:tcBorders>
          </w:tcPr>
          <w:p w14:paraId="5A2EAA9F" w14:textId="47F00D3D" w:rsidR="00AB59AC" w:rsidRDefault="00AB59AC" w:rsidP="00E70788">
            <w:pPr>
              <w:jc w:val="left"/>
              <w:rPr>
                <w:szCs w:val="22"/>
              </w:rPr>
            </w:pPr>
            <w:r>
              <w:rPr>
                <w:szCs w:val="22"/>
              </w:rPr>
              <w:t>Access to Institution Data, Q5</w:t>
            </w:r>
          </w:p>
        </w:tc>
        <w:tc>
          <w:tcPr>
            <w:tcW w:w="1417" w:type="dxa"/>
            <w:vAlign w:val="center"/>
          </w:tcPr>
          <w:p w14:paraId="4B548C13" w14:textId="24C0C83C" w:rsidR="00AB59AC" w:rsidRDefault="00AB59AC" w:rsidP="00AB59AC">
            <w:pPr>
              <w:tabs>
                <w:tab w:val="left" w:pos="418"/>
              </w:tabs>
              <w:jc w:val="center"/>
              <w:rPr>
                <w:sz w:val="24"/>
                <w:highlight w:val="yellow"/>
              </w:rPr>
            </w:pPr>
            <w:r>
              <w:rPr>
                <w:rFonts w:cs="Arial"/>
                <w:color w:val="000000"/>
                <w:highlight w:val="yellow"/>
              </w:rPr>
              <w:t>2%</w:t>
            </w:r>
          </w:p>
        </w:tc>
      </w:tr>
      <w:tr w:rsidR="00AB59AC" w:rsidRPr="00B764B2" w14:paraId="0B32DED9"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71DF3D34" w14:textId="77777777" w:rsidR="00AB59AC" w:rsidRPr="00107502" w:rsidRDefault="00AB59AC" w:rsidP="00E70788">
            <w:pPr>
              <w:jc w:val="left"/>
              <w:rPr>
                <w:b/>
                <w:sz w:val="24"/>
                <w:highlight w:val="yellow"/>
              </w:rPr>
            </w:pPr>
          </w:p>
        </w:tc>
        <w:tc>
          <w:tcPr>
            <w:tcW w:w="2948" w:type="dxa"/>
            <w:tcBorders>
              <w:left w:val="single" w:sz="4" w:space="0" w:color="auto"/>
            </w:tcBorders>
          </w:tcPr>
          <w:p w14:paraId="1C3BE110" w14:textId="77777777" w:rsidR="00AB59AC" w:rsidRPr="00152D2E" w:rsidRDefault="00AB59AC" w:rsidP="00E70788">
            <w:pPr>
              <w:jc w:val="left"/>
              <w:rPr>
                <w:szCs w:val="22"/>
                <w:highlight w:val="yellow"/>
              </w:rPr>
            </w:pPr>
          </w:p>
        </w:tc>
        <w:tc>
          <w:tcPr>
            <w:tcW w:w="1134" w:type="dxa"/>
          </w:tcPr>
          <w:p w14:paraId="4035EF51" w14:textId="77777777" w:rsidR="00AB59AC" w:rsidRPr="00107502" w:rsidRDefault="00AB59AC" w:rsidP="00E70788">
            <w:pPr>
              <w:jc w:val="center"/>
              <w:rPr>
                <w:sz w:val="24"/>
                <w:highlight w:val="yellow"/>
              </w:rPr>
            </w:pPr>
          </w:p>
        </w:tc>
        <w:tc>
          <w:tcPr>
            <w:tcW w:w="3969" w:type="dxa"/>
            <w:gridSpan w:val="2"/>
            <w:tcBorders>
              <w:left w:val="single" w:sz="4" w:space="0" w:color="auto"/>
            </w:tcBorders>
          </w:tcPr>
          <w:p w14:paraId="702ABB5B" w14:textId="68B5818D" w:rsidR="00AB59AC" w:rsidRDefault="00AB59AC" w:rsidP="00E70788">
            <w:pPr>
              <w:jc w:val="left"/>
              <w:rPr>
                <w:szCs w:val="22"/>
              </w:rPr>
            </w:pPr>
            <w:r>
              <w:rPr>
                <w:szCs w:val="22"/>
              </w:rPr>
              <w:t>Support and Maintenance, Q6</w:t>
            </w:r>
          </w:p>
        </w:tc>
        <w:tc>
          <w:tcPr>
            <w:tcW w:w="1417" w:type="dxa"/>
            <w:vAlign w:val="center"/>
          </w:tcPr>
          <w:p w14:paraId="32629675" w14:textId="130FA66A" w:rsidR="00AB59AC" w:rsidRDefault="00AB59AC" w:rsidP="00AB59AC">
            <w:pPr>
              <w:tabs>
                <w:tab w:val="left" w:pos="418"/>
              </w:tabs>
              <w:jc w:val="center"/>
              <w:rPr>
                <w:sz w:val="24"/>
                <w:highlight w:val="yellow"/>
              </w:rPr>
            </w:pPr>
            <w:r>
              <w:rPr>
                <w:rFonts w:cs="Arial"/>
                <w:color w:val="000000"/>
                <w:highlight w:val="yellow"/>
              </w:rPr>
              <w:t>5%</w:t>
            </w:r>
          </w:p>
        </w:tc>
      </w:tr>
      <w:tr w:rsidR="00AB59AC" w:rsidRPr="00B764B2" w14:paraId="5BEAB9D5"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5F1E3A29" w14:textId="77777777" w:rsidR="00AB59AC" w:rsidRPr="00107502" w:rsidRDefault="00AB59AC" w:rsidP="00E70788">
            <w:pPr>
              <w:jc w:val="left"/>
              <w:rPr>
                <w:b/>
                <w:sz w:val="24"/>
                <w:highlight w:val="yellow"/>
              </w:rPr>
            </w:pPr>
          </w:p>
        </w:tc>
        <w:tc>
          <w:tcPr>
            <w:tcW w:w="2948" w:type="dxa"/>
            <w:tcBorders>
              <w:left w:val="single" w:sz="4" w:space="0" w:color="auto"/>
            </w:tcBorders>
          </w:tcPr>
          <w:p w14:paraId="25AA27D0" w14:textId="77777777" w:rsidR="00AB59AC" w:rsidRPr="00152D2E" w:rsidRDefault="00AB59AC" w:rsidP="00E70788">
            <w:pPr>
              <w:jc w:val="left"/>
              <w:rPr>
                <w:szCs w:val="22"/>
                <w:highlight w:val="yellow"/>
              </w:rPr>
            </w:pPr>
          </w:p>
        </w:tc>
        <w:tc>
          <w:tcPr>
            <w:tcW w:w="1134" w:type="dxa"/>
          </w:tcPr>
          <w:p w14:paraId="0BC62624" w14:textId="77777777" w:rsidR="00AB59AC" w:rsidRPr="00107502" w:rsidRDefault="00AB59AC" w:rsidP="00E70788">
            <w:pPr>
              <w:jc w:val="center"/>
              <w:rPr>
                <w:sz w:val="24"/>
                <w:highlight w:val="yellow"/>
              </w:rPr>
            </w:pPr>
          </w:p>
        </w:tc>
        <w:tc>
          <w:tcPr>
            <w:tcW w:w="3969" w:type="dxa"/>
            <w:gridSpan w:val="2"/>
            <w:tcBorders>
              <w:left w:val="single" w:sz="4" w:space="0" w:color="auto"/>
            </w:tcBorders>
          </w:tcPr>
          <w:p w14:paraId="4BB1E2CF" w14:textId="28F89C1F" w:rsidR="00AB59AC" w:rsidRDefault="00AB59AC" w:rsidP="00E70788">
            <w:pPr>
              <w:jc w:val="left"/>
              <w:rPr>
                <w:szCs w:val="22"/>
              </w:rPr>
            </w:pPr>
            <w:r>
              <w:rPr>
                <w:szCs w:val="22"/>
              </w:rPr>
              <w:t>Hosted Infrastructure, Q7</w:t>
            </w:r>
          </w:p>
        </w:tc>
        <w:tc>
          <w:tcPr>
            <w:tcW w:w="1417" w:type="dxa"/>
            <w:vAlign w:val="center"/>
          </w:tcPr>
          <w:p w14:paraId="0256EDBA" w14:textId="14C8C6D9" w:rsidR="00AB59AC" w:rsidRDefault="00AB59AC" w:rsidP="00AB59AC">
            <w:pPr>
              <w:tabs>
                <w:tab w:val="left" w:pos="418"/>
              </w:tabs>
              <w:jc w:val="center"/>
              <w:rPr>
                <w:sz w:val="24"/>
                <w:highlight w:val="yellow"/>
              </w:rPr>
            </w:pPr>
            <w:r>
              <w:rPr>
                <w:rFonts w:cs="Arial"/>
                <w:color w:val="000000"/>
                <w:highlight w:val="yellow"/>
              </w:rPr>
              <w:t>5%</w:t>
            </w:r>
          </w:p>
        </w:tc>
      </w:tr>
      <w:tr w:rsidR="00AB59AC" w:rsidRPr="00B764B2" w14:paraId="0B0B384B"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4FCB41B7" w14:textId="77777777" w:rsidR="00AB59AC" w:rsidRPr="00107502" w:rsidRDefault="00AB59AC" w:rsidP="00E70788">
            <w:pPr>
              <w:jc w:val="left"/>
              <w:rPr>
                <w:b/>
                <w:sz w:val="24"/>
                <w:highlight w:val="yellow"/>
              </w:rPr>
            </w:pPr>
          </w:p>
        </w:tc>
        <w:tc>
          <w:tcPr>
            <w:tcW w:w="2948" w:type="dxa"/>
            <w:tcBorders>
              <w:left w:val="single" w:sz="4" w:space="0" w:color="auto"/>
            </w:tcBorders>
          </w:tcPr>
          <w:p w14:paraId="43A4E677" w14:textId="59510944" w:rsidR="00AB59AC" w:rsidRPr="00152D2E" w:rsidRDefault="00AB59AC" w:rsidP="00E70788">
            <w:pPr>
              <w:jc w:val="left"/>
              <w:rPr>
                <w:szCs w:val="22"/>
                <w:highlight w:val="yellow"/>
              </w:rPr>
            </w:pPr>
          </w:p>
        </w:tc>
        <w:tc>
          <w:tcPr>
            <w:tcW w:w="1134" w:type="dxa"/>
          </w:tcPr>
          <w:p w14:paraId="282A4D08" w14:textId="2290FEA1" w:rsidR="00AB59AC" w:rsidRPr="00107502" w:rsidRDefault="00AB59AC" w:rsidP="00E70788">
            <w:pPr>
              <w:jc w:val="center"/>
              <w:rPr>
                <w:sz w:val="24"/>
                <w:highlight w:val="yellow"/>
              </w:rPr>
            </w:pPr>
          </w:p>
        </w:tc>
        <w:tc>
          <w:tcPr>
            <w:tcW w:w="3969" w:type="dxa"/>
            <w:gridSpan w:val="2"/>
            <w:tcBorders>
              <w:left w:val="single" w:sz="4" w:space="0" w:color="auto"/>
            </w:tcBorders>
          </w:tcPr>
          <w:p w14:paraId="79D9F1A9" w14:textId="4BB723B3" w:rsidR="00AB59AC" w:rsidRPr="00107502" w:rsidRDefault="00AB59AC" w:rsidP="00E70788">
            <w:pPr>
              <w:jc w:val="left"/>
              <w:rPr>
                <w:sz w:val="24"/>
                <w:highlight w:val="yellow"/>
              </w:rPr>
            </w:pPr>
            <w:r>
              <w:rPr>
                <w:szCs w:val="22"/>
              </w:rPr>
              <w:t xml:space="preserve">Project Management of System </w:t>
            </w:r>
            <w:r w:rsidRPr="00152D2E">
              <w:rPr>
                <w:szCs w:val="22"/>
              </w:rPr>
              <w:t>Implementation</w:t>
            </w:r>
            <w:r>
              <w:rPr>
                <w:szCs w:val="22"/>
              </w:rPr>
              <w:t xml:space="preserve">, Q8, </w:t>
            </w:r>
          </w:p>
        </w:tc>
        <w:tc>
          <w:tcPr>
            <w:tcW w:w="1417" w:type="dxa"/>
            <w:vAlign w:val="center"/>
          </w:tcPr>
          <w:p w14:paraId="3918E4B8" w14:textId="76541A1E" w:rsidR="00AB59AC" w:rsidRPr="00107502" w:rsidRDefault="00AB59AC" w:rsidP="00AB59AC">
            <w:pPr>
              <w:tabs>
                <w:tab w:val="left" w:pos="418"/>
              </w:tabs>
              <w:jc w:val="center"/>
              <w:rPr>
                <w:sz w:val="24"/>
                <w:highlight w:val="yellow"/>
              </w:rPr>
            </w:pPr>
            <w:r>
              <w:rPr>
                <w:rFonts w:cs="Arial"/>
                <w:color w:val="000000"/>
                <w:highlight w:val="yellow"/>
              </w:rPr>
              <w:t>7%</w:t>
            </w:r>
          </w:p>
        </w:tc>
      </w:tr>
      <w:tr w:rsidR="00AB59AC" w:rsidRPr="00B764B2" w14:paraId="1A5457E9"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487B59BB" w14:textId="77777777" w:rsidR="00AB59AC" w:rsidRPr="00107502" w:rsidRDefault="00AB59AC" w:rsidP="00E70788">
            <w:pPr>
              <w:jc w:val="left"/>
              <w:rPr>
                <w:b/>
                <w:sz w:val="24"/>
                <w:highlight w:val="yellow"/>
              </w:rPr>
            </w:pPr>
          </w:p>
        </w:tc>
        <w:tc>
          <w:tcPr>
            <w:tcW w:w="2948" w:type="dxa"/>
            <w:tcBorders>
              <w:left w:val="single" w:sz="4" w:space="0" w:color="auto"/>
            </w:tcBorders>
          </w:tcPr>
          <w:p w14:paraId="3F2E3586" w14:textId="14DD511E" w:rsidR="00AB59AC" w:rsidRPr="00152D2E" w:rsidRDefault="00AB59AC" w:rsidP="00E70788">
            <w:pPr>
              <w:jc w:val="left"/>
              <w:rPr>
                <w:szCs w:val="22"/>
                <w:highlight w:val="yellow"/>
              </w:rPr>
            </w:pPr>
          </w:p>
        </w:tc>
        <w:tc>
          <w:tcPr>
            <w:tcW w:w="1134" w:type="dxa"/>
          </w:tcPr>
          <w:p w14:paraId="6AC8204E" w14:textId="2F852CFF" w:rsidR="00AB59AC" w:rsidRPr="00107502" w:rsidRDefault="00AB59AC" w:rsidP="00E70788">
            <w:pPr>
              <w:jc w:val="center"/>
              <w:rPr>
                <w:sz w:val="24"/>
                <w:highlight w:val="yellow"/>
              </w:rPr>
            </w:pPr>
          </w:p>
        </w:tc>
        <w:tc>
          <w:tcPr>
            <w:tcW w:w="3969" w:type="dxa"/>
            <w:gridSpan w:val="2"/>
            <w:tcBorders>
              <w:left w:val="single" w:sz="4" w:space="0" w:color="auto"/>
            </w:tcBorders>
          </w:tcPr>
          <w:p w14:paraId="1A8C4D3E" w14:textId="648A2567" w:rsidR="00AB59AC" w:rsidRPr="00107502" w:rsidRDefault="00AB59AC" w:rsidP="00E70788">
            <w:pPr>
              <w:jc w:val="left"/>
              <w:rPr>
                <w:sz w:val="24"/>
                <w:highlight w:val="yellow"/>
              </w:rPr>
            </w:pPr>
            <w:r w:rsidRPr="00152D2E">
              <w:rPr>
                <w:szCs w:val="22"/>
              </w:rPr>
              <w:t>Innovation</w:t>
            </w:r>
            <w:r>
              <w:rPr>
                <w:szCs w:val="22"/>
              </w:rPr>
              <w:t xml:space="preserve"> and Customer Leverage, Q9</w:t>
            </w:r>
          </w:p>
        </w:tc>
        <w:tc>
          <w:tcPr>
            <w:tcW w:w="1417" w:type="dxa"/>
            <w:vAlign w:val="center"/>
          </w:tcPr>
          <w:p w14:paraId="137C1593" w14:textId="6F1B7D35" w:rsidR="00AB59AC" w:rsidRPr="00107502" w:rsidRDefault="00AB59AC" w:rsidP="00E70788">
            <w:pPr>
              <w:jc w:val="center"/>
              <w:rPr>
                <w:sz w:val="24"/>
                <w:highlight w:val="yellow"/>
              </w:rPr>
            </w:pPr>
            <w:r>
              <w:rPr>
                <w:rFonts w:cs="Arial"/>
                <w:color w:val="000000"/>
                <w:highlight w:val="yellow"/>
              </w:rPr>
              <w:t>5%</w:t>
            </w:r>
          </w:p>
        </w:tc>
      </w:tr>
      <w:tr w:rsidR="00AB59AC" w:rsidRPr="00B764B2" w14:paraId="7E6733DD"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66162105" w14:textId="77777777" w:rsidR="00AB59AC" w:rsidRPr="00107502" w:rsidRDefault="00AB59AC" w:rsidP="00E70788">
            <w:pPr>
              <w:jc w:val="left"/>
              <w:rPr>
                <w:b/>
                <w:sz w:val="24"/>
                <w:highlight w:val="yellow"/>
              </w:rPr>
            </w:pPr>
          </w:p>
        </w:tc>
        <w:tc>
          <w:tcPr>
            <w:tcW w:w="2948" w:type="dxa"/>
            <w:tcBorders>
              <w:left w:val="single" w:sz="4" w:space="0" w:color="auto"/>
            </w:tcBorders>
            <w:shd w:val="clear" w:color="auto" w:fill="auto"/>
          </w:tcPr>
          <w:p w14:paraId="79FDA616" w14:textId="77777777" w:rsidR="00AB59AC" w:rsidRPr="00152D2E" w:rsidRDefault="00AB59AC" w:rsidP="00E70788">
            <w:pPr>
              <w:jc w:val="left"/>
              <w:rPr>
                <w:szCs w:val="22"/>
                <w:highlight w:val="yellow"/>
              </w:rPr>
            </w:pPr>
          </w:p>
        </w:tc>
        <w:tc>
          <w:tcPr>
            <w:tcW w:w="1134" w:type="dxa"/>
          </w:tcPr>
          <w:p w14:paraId="12D9A211" w14:textId="77777777" w:rsidR="00AB59AC" w:rsidRPr="00107502" w:rsidRDefault="00AB59AC" w:rsidP="00E70788">
            <w:pPr>
              <w:jc w:val="center"/>
              <w:rPr>
                <w:sz w:val="24"/>
                <w:highlight w:val="yellow"/>
              </w:rPr>
            </w:pPr>
          </w:p>
        </w:tc>
        <w:tc>
          <w:tcPr>
            <w:tcW w:w="3969" w:type="dxa"/>
            <w:gridSpan w:val="2"/>
            <w:tcBorders>
              <w:left w:val="single" w:sz="4" w:space="0" w:color="auto"/>
            </w:tcBorders>
            <w:shd w:val="clear" w:color="auto" w:fill="auto"/>
          </w:tcPr>
          <w:p w14:paraId="422B1442" w14:textId="0205F54A" w:rsidR="00AB59AC" w:rsidRDefault="00AB59AC" w:rsidP="00E70788">
            <w:pPr>
              <w:jc w:val="left"/>
              <w:rPr>
                <w:sz w:val="24"/>
              </w:rPr>
            </w:pPr>
            <w:r w:rsidRPr="005B3ACA">
              <w:t>Key Person</w:t>
            </w:r>
            <w:r>
              <w:t>n</w:t>
            </w:r>
            <w:r w:rsidRPr="005B3ACA">
              <w:t>el</w:t>
            </w:r>
            <w:r>
              <w:t>, Q10</w:t>
            </w:r>
          </w:p>
        </w:tc>
        <w:tc>
          <w:tcPr>
            <w:tcW w:w="1417" w:type="dxa"/>
            <w:vAlign w:val="center"/>
          </w:tcPr>
          <w:p w14:paraId="09B4F6A8" w14:textId="0754B486" w:rsidR="00AB59AC" w:rsidRDefault="00BE5D4A" w:rsidP="00E70788">
            <w:pPr>
              <w:jc w:val="center"/>
              <w:rPr>
                <w:sz w:val="24"/>
                <w:highlight w:val="yellow"/>
              </w:rPr>
            </w:pPr>
            <w:r>
              <w:rPr>
                <w:rFonts w:cs="Arial"/>
                <w:color w:val="000000"/>
                <w:highlight w:val="yellow"/>
              </w:rPr>
              <w:t>2</w:t>
            </w:r>
            <w:r w:rsidR="00AB59AC">
              <w:rPr>
                <w:rFonts w:cs="Arial"/>
                <w:color w:val="000000"/>
                <w:highlight w:val="yellow"/>
              </w:rPr>
              <w:t>%</w:t>
            </w:r>
          </w:p>
        </w:tc>
      </w:tr>
      <w:tr w:rsidR="00AB59AC" w:rsidRPr="00B764B2" w14:paraId="55500908"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30BD3F44" w14:textId="77777777" w:rsidR="00AB59AC" w:rsidRPr="00107502" w:rsidRDefault="00AB59AC" w:rsidP="00E70788">
            <w:pPr>
              <w:jc w:val="left"/>
              <w:rPr>
                <w:b/>
                <w:sz w:val="24"/>
                <w:highlight w:val="yellow"/>
              </w:rPr>
            </w:pPr>
          </w:p>
        </w:tc>
        <w:tc>
          <w:tcPr>
            <w:tcW w:w="2948" w:type="dxa"/>
            <w:tcBorders>
              <w:left w:val="single" w:sz="4" w:space="0" w:color="auto"/>
            </w:tcBorders>
            <w:shd w:val="clear" w:color="auto" w:fill="auto"/>
          </w:tcPr>
          <w:p w14:paraId="6730E154" w14:textId="097DB675" w:rsidR="00AB59AC" w:rsidRPr="00152D2E" w:rsidRDefault="00AB59AC" w:rsidP="00E70788">
            <w:pPr>
              <w:jc w:val="left"/>
              <w:rPr>
                <w:szCs w:val="22"/>
                <w:highlight w:val="yellow"/>
              </w:rPr>
            </w:pPr>
          </w:p>
        </w:tc>
        <w:tc>
          <w:tcPr>
            <w:tcW w:w="1134" w:type="dxa"/>
          </w:tcPr>
          <w:p w14:paraId="5941343F" w14:textId="231C098E" w:rsidR="00AB59AC" w:rsidRPr="00107502" w:rsidRDefault="00AB59AC" w:rsidP="00E70788">
            <w:pPr>
              <w:jc w:val="center"/>
              <w:rPr>
                <w:sz w:val="24"/>
                <w:highlight w:val="yellow"/>
              </w:rPr>
            </w:pPr>
          </w:p>
        </w:tc>
        <w:tc>
          <w:tcPr>
            <w:tcW w:w="3969" w:type="dxa"/>
            <w:gridSpan w:val="2"/>
            <w:tcBorders>
              <w:left w:val="single" w:sz="4" w:space="0" w:color="auto"/>
            </w:tcBorders>
            <w:shd w:val="clear" w:color="auto" w:fill="auto"/>
          </w:tcPr>
          <w:p w14:paraId="357E41D5" w14:textId="0F38BC7C" w:rsidR="00AB59AC" w:rsidRPr="00107502" w:rsidRDefault="00AB59AC" w:rsidP="00E70788">
            <w:pPr>
              <w:jc w:val="left"/>
              <w:rPr>
                <w:sz w:val="24"/>
                <w:highlight w:val="yellow"/>
              </w:rPr>
            </w:pPr>
            <w:r w:rsidRPr="005028DD">
              <w:t>Service Performance Management and Escalation, Q11</w:t>
            </w:r>
          </w:p>
        </w:tc>
        <w:tc>
          <w:tcPr>
            <w:tcW w:w="1417" w:type="dxa"/>
            <w:vAlign w:val="center"/>
          </w:tcPr>
          <w:p w14:paraId="47B06644" w14:textId="35C07D96" w:rsidR="00AB59AC" w:rsidRPr="00107502" w:rsidRDefault="006731E8" w:rsidP="00E70788">
            <w:pPr>
              <w:jc w:val="center"/>
              <w:rPr>
                <w:sz w:val="24"/>
                <w:highlight w:val="yellow"/>
              </w:rPr>
            </w:pPr>
            <w:r>
              <w:rPr>
                <w:rFonts w:cs="Arial"/>
                <w:color w:val="000000"/>
                <w:szCs w:val="22"/>
                <w:highlight w:val="yellow"/>
              </w:rPr>
              <w:t>5</w:t>
            </w:r>
            <w:r w:rsidR="00AB59AC">
              <w:rPr>
                <w:rFonts w:cs="Arial"/>
                <w:color w:val="000000"/>
                <w:szCs w:val="22"/>
                <w:highlight w:val="yellow"/>
              </w:rPr>
              <w:t>%</w:t>
            </w:r>
          </w:p>
        </w:tc>
      </w:tr>
      <w:tr w:rsidR="00AB59AC" w:rsidRPr="00B764B2" w14:paraId="3A58529C"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5F40738F" w14:textId="77777777" w:rsidR="00AB59AC" w:rsidRPr="004921A3" w:rsidRDefault="00AB59AC" w:rsidP="005B3ACA">
            <w:pPr>
              <w:jc w:val="left"/>
              <w:rPr>
                <w:b/>
                <w:highlight w:val="yellow"/>
              </w:rPr>
            </w:pPr>
          </w:p>
        </w:tc>
        <w:tc>
          <w:tcPr>
            <w:tcW w:w="2948" w:type="dxa"/>
            <w:tcBorders>
              <w:left w:val="single" w:sz="4" w:space="0" w:color="auto"/>
            </w:tcBorders>
          </w:tcPr>
          <w:p w14:paraId="469E1515" w14:textId="41A58178" w:rsidR="00AB59AC" w:rsidRPr="00E70788" w:rsidRDefault="00AB59AC" w:rsidP="005B3ACA">
            <w:pPr>
              <w:jc w:val="left"/>
              <w:rPr>
                <w:rFonts w:cs="Arial"/>
                <w:b/>
                <w:szCs w:val="22"/>
              </w:rPr>
            </w:pPr>
          </w:p>
        </w:tc>
        <w:tc>
          <w:tcPr>
            <w:tcW w:w="1134" w:type="dxa"/>
          </w:tcPr>
          <w:p w14:paraId="399BA231" w14:textId="2B5E8530" w:rsidR="00AB59AC" w:rsidRDefault="00AB59AC" w:rsidP="005B3ACA">
            <w:pPr>
              <w:jc w:val="center"/>
              <w:rPr>
                <w:rFonts w:cs="Arial"/>
                <w:bCs/>
                <w:szCs w:val="22"/>
                <w:highlight w:val="yellow"/>
              </w:rPr>
            </w:pPr>
          </w:p>
        </w:tc>
        <w:tc>
          <w:tcPr>
            <w:tcW w:w="3969" w:type="dxa"/>
            <w:gridSpan w:val="2"/>
          </w:tcPr>
          <w:p w14:paraId="22AA0A4B" w14:textId="1C0C727D" w:rsidR="00AB59AC" w:rsidRPr="005B3ACA" w:rsidRDefault="00AB59AC" w:rsidP="008A5F72">
            <w:pPr>
              <w:jc w:val="left"/>
            </w:pPr>
            <w:r w:rsidRPr="005028DD">
              <w:t xml:space="preserve">Sustainable Procurement </w:t>
            </w:r>
            <w:r>
              <w:t>Q12</w:t>
            </w:r>
          </w:p>
        </w:tc>
        <w:tc>
          <w:tcPr>
            <w:tcW w:w="1417" w:type="dxa"/>
            <w:vAlign w:val="center"/>
          </w:tcPr>
          <w:p w14:paraId="7059A693" w14:textId="6AD0348A" w:rsidR="00AB59AC" w:rsidRPr="004921A3" w:rsidRDefault="00AB59AC" w:rsidP="005B3ACA">
            <w:pPr>
              <w:jc w:val="center"/>
              <w:rPr>
                <w:highlight w:val="yellow"/>
              </w:rPr>
            </w:pPr>
            <w:r>
              <w:rPr>
                <w:rFonts w:cs="Arial"/>
                <w:color w:val="000000"/>
                <w:szCs w:val="22"/>
                <w:highlight w:val="yellow"/>
              </w:rPr>
              <w:t>1%</w:t>
            </w:r>
          </w:p>
        </w:tc>
      </w:tr>
      <w:tr w:rsidR="00AB59AC" w:rsidRPr="00B764B2" w14:paraId="56440E30" w14:textId="77777777" w:rsidTr="00BE5D4A">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2185C751" w14:textId="77777777" w:rsidR="00AB59AC" w:rsidRPr="004921A3" w:rsidRDefault="00AB59AC" w:rsidP="007B04B1">
            <w:pPr>
              <w:jc w:val="left"/>
              <w:rPr>
                <w:b/>
                <w:highlight w:val="yellow"/>
              </w:rPr>
            </w:pPr>
          </w:p>
        </w:tc>
        <w:tc>
          <w:tcPr>
            <w:tcW w:w="2948" w:type="dxa"/>
            <w:tcBorders>
              <w:left w:val="single" w:sz="4" w:space="0" w:color="auto"/>
            </w:tcBorders>
          </w:tcPr>
          <w:p w14:paraId="243C2965" w14:textId="0564A759" w:rsidR="00AB59AC" w:rsidRPr="00E70788" w:rsidRDefault="00AB59AC" w:rsidP="007B04B1">
            <w:pPr>
              <w:jc w:val="left"/>
              <w:rPr>
                <w:b/>
              </w:rPr>
            </w:pPr>
          </w:p>
        </w:tc>
        <w:tc>
          <w:tcPr>
            <w:tcW w:w="1134" w:type="dxa"/>
          </w:tcPr>
          <w:p w14:paraId="330CDFA9" w14:textId="7B0A05BB" w:rsidR="00AB59AC" w:rsidRDefault="00AB59AC" w:rsidP="007B04B1">
            <w:pPr>
              <w:jc w:val="center"/>
              <w:rPr>
                <w:highlight w:val="yellow"/>
              </w:rPr>
            </w:pPr>
          </w:p>
        </w:tc>
        <w:tc>
          <w:tcPr>
            <w:tcW w:w="3969" w:type="dxa"/>
            <w:gridSpan w:val="2"/>
          </w:tcPr>
          <w:p w14:paraId="0FED1351" w14:textId="52AF690C" w:rsidR="00AB59AC" w:rsidRPr="004921A3" w:rsidRDefault="00AB59AC" w:rsidP="007B04B1">
            <w:pPr>
              <w:jc w:val="left"/>
              <w:rPr>
                <w:highlight w:val="yellow"/>
              </w:rPr>
            </w:pPr>
            <w:r w:rsidRPr="005D3E23">
              <w:t>Phase Out &amp; Exit Strategy</w:t>
            </w:r>
            <w:r>
              <w:t>, Q13</w:t>
            </w:r>
          </w:p>
        </w:tc>
        <w:tc>
          <w:tcPr>
            <w:tcW w:w="1417" w:type="dxa"/>
            <w:vAlign w:val="center"/>
          </w:tcPr>
          <w:p w14:paraId="150AB164" w14:textId="4611F73C" w:rsidR="00AB59AC" w:rsidRPr="004921A3" w:rsidRDefault="006731E8" w:rsidP="007B04B1">
            <w:pPr>
              <w:jc w:val="center"/>
              <w:rPr>
                <w:highlight w:val="yellow"/>
              </w:rPr>
            </w:pPr>
            <w:r>
              <w:rPr>
                <w:rFonts w:cs="Arial"/>
                <w:color w:val="000000"/>
                <w:szCs w:val="22"/>
                <w:highlight w:val="yellow"/>
              </w:rPr>
              <w:t>1</w:t>
            </w:r>
            <w:r w:rsidR="00AB59AC">
              <w:rPr>
                <w:rFonts w:cs="Arial"/>
                <w:color w:val="000000"/>
                <w:szCs w:val="22"/>
                <w:highlight w:val="yellow"/>
              </w:rPr>
              <w:t>%</w:t>
            </w:r>
          </w:p>
        </w:tc>
      </w:tr>
      <w:tr w:rsidR="005028DD" w:rsidRPr="00B764B2" w14:paraId="4093718E" w14:textId="77777777" w:rsidTr="00B57F61">
        <w:trPr>
          <w:trHeight w:val="19"/>
        </w:trPr>
        <w:tc>
          <w:tcPr>
            <w:tcW w:w="1731" w:type="dxa"/>
            <w:vMerge/>
            <w:tcBorders>
              <w:top w:val="nil"/>
              <w:left w:val="single" w:sz="4" w:space="0" w:color="auto"/>
              <w:bottom w:val="nil"/>
              <w:right w:val="single" w:sz="4" w:space="0" w:color="auto"/>
            </w:tcBorders>
            <w:shd w:val="clear" w:color="auto" w:fill="CCC0D9" w:themeFill="accent4" w:themeFillTint="66"/>
          </w:tcPr>
          <w:p w14:paraId="0D4F83C3" w14:textId="77777777" w:rsidR="005028DD" w:rsidRPr="004921A3" w:rsidRDefault="005028DD" w:rsidP="007B04B1">
            <w:pPr>
              <w:jc w:val="left"/>
              <w:rPr>
                <w:b/>
                <w:highlight w:val="yellow"/>
              </w:rPr>
            </w:pPr>
          </w:p>
        </w:tc>
        <w:tc>
          <w:tcPr>
            <w:tcW w:w="2948" w:type="dxa"/>
            <w:tcBorders>
              <w:top w:val="nil"/>
              <w:left w:val="single" w:sz="4" w:space="0" w:color="auto"/>
            </w:tcBorders>
          </w:tcPr>
          <w:p w14:paraId="3E7E82DE" w14:textId="6CB34586" w:rsidR="005028DD" w:rsidRPr="004921A3" w:rsidRDefault="005028DD" w:rsidP="007B04B1">
            <w:pPr>
              <w:jc w:val="left"/>
              <w:rPr>
                <w:highlight w:val="yellow"/>
              </w:rPr>
            </w:pPr>
            <w:r w:rsidRPr="00107502">
              <w:t>Appendix A – Form of Tender.</w:t>
            </w:r>
          </w:p>
        </w:tc>
        <w:tc>
          <w:tcPr>
            <w:tcW w:w="6520" w:type="dxa"/>
            <w:gridSpan w:val="4"/>
            <w:tcBorders>
              <w:top w:val="nil"/>
            </w:tcBorders>
          </w:tcPr>
          <w:p w14:paraId="0F4E0E9E" w14:textId="0A7161F4" w:rsidR="005028DD" w:rsidRPr="004921A3" w:rsidRDefault="005028DD" w:rsidP="007B04B1">
            <w:pPr>
              <w:rPr>
                <w:highlight w:val="yellow"/>
              </w:rPr>
            </w:pPr>
            <w:r>
              <w:t xml:space="preserve">For </w:t>
            </w:r>
            <w:r w:rsidRPr="00107502">
              <w:t>Submission prior to Award</w:t>
            </w:r>
          </w:p>
        </w:tc>
      </w:tr>
      <w:tr w:rsidR="005028DD" w:rsidRPr="00B764B2" w14:paraId="6F6DFC68" w14:textId="77777777" w:rsidTr="00B82FCE">
        <w:trPr>
          <w:trHeight w:val="19"/>
        </w:trPr>
        <w:tc>
          <w:tcPr>
            <w:tcW w:w="1731" w:type="dxa"/>
            <w:tcBorders>
              <w:top w:val="nil"/>
              <w:left w:val="single" w:sz="4" w:space="0" w:color="auto"/>
              <w:bottom w:val="nil"/>
              <w:right w:val="single" w:sz="4" w:space="0" w:color="auto"/>
            </w:tcBorders>
            <w:shd w:val="clear" w:color="auto" w:fill="CCC0D9" w:themeFill="accent4" w:themeFillTint="66"/>
          </w:tcPr>
          <w:p w14:paraId="768E59C6" w14:textId="77777777" w:rsidR="005028DD" w:rsidRPr="004921A3" w:rsidRDefault="005028DD" w:rsidP="007B04B1">
            <w:pPr>
              <w:jc w:val="left"/>
              <w:rPr>
                <w:highlight w:val="yellow"/>
              </w:rPr>
            </w:pPr>
          </w:p>
        </w:tc>
        <w:tc>
          <w:tcPr>
            <w:tcW w:w="2948" w:type="dxa"/>
            <w:tcBorders>
              <w:top w:val="nil"/>
              <w:left w:val="single" w:sz="4" w:space="0" w:color="auto"/>
            </w:tcBorders>
          </w:tcPr>
          <w:p w14:paraId="4E16EDE0" w14:textId="616697D7" w:rsidR="005028DD" w:rsidRPr="00107502" w:rsidRDefault="005028DD" w:rsidP="007B04B1">
            <w:pPr>
              <w:jc w:val="left"/>
            </w:pPr>
            <w:r w:rsidRPr="00107502">
              <w:t>Appendix B – Freedom of Information</w:t>
            </w:r>
          </w:p>
        </w:tc>
        <w:tc>
          <w:tcPr>
            <w:tcW w:w="6520" w:type="dxa"/>
            <w:gridSpan w:val="4"/>
            <w:tcBorders>
              <w:top w:val="nil"/>
            </w:tcBorders>
          </w:tcPr>
          <w:p w14:paraId="60B08869" w14:textId="0CBBBEF7" w:rsidR="005028DD" w:rsidRPr="00107502" w:rsidRDefault="005028DD" w:rsidP="007B04B1">
            <w:pPr>
              <w:jc w:val="left"/>
            </w:pPr>
            <w:r w:rsidRPr="00107502">
              <w:rPr>
                <w:rFonts w:cs="Arial"/>
                <w:szCs w:val="22"/>
              </w:rPr>
              <w:t>For Submission prior to Award (if applicable).</w:t>
            </w:r>
          </w:p>
        </w:tc>
      </w:tr>
      <w:tr w:rsidR="005028DD" w:rsidRPr="00B764B2" w14:paraId="1AE5CC94" w14:textId="77777777" w:rsidTr="00B82FCE">
        <w:trPr>
          <w:trHeight w:val="19"/>
        </w:trPr>
        <w:tc>
          <w:tcPr>
            <w:tcW w:w="1731" w:type="dxa"/>
            <w:tcBorders>
              <w:top w:val="nil"/>
              <w:left w:val="single" w:sz="4" w:space="0" w:color="auto"/>
              <w:bottom w:val="nil"/>
              <w:right w:val="single" w:sz="4" w:space="0" w:color="auto"/>
            </w:tcBorders>
            <w:shd w:val="clear" w:color="auto" w:fill="CCC0D9" w:themeFill="accent4" w:themeFillTint="66"/>
          </w:tcPr>
          <w:p w14:paraId="697920EF" w14:textId="77777777" w:rsidR="005028DD" w:rsidRPr="004921A3" w:rsidRDefault="005028DD" w:rsidP="007B04B1">
            <w:pPr>
              <w:jc w:val="left"/>
              <w:rPr>
                <w:highlight w:val="yellow"/>
              </w:rPr>
            </w:pPr>
          </w:p>
        </w:tc>
        <w:tc>
          <w:tcPr>
            <w:tcW w:w="2948" w:type="dxa"/>
            <w:tcBorders>
              <w:left w:val="single" w:sz="4" w:space="0" w:color="auto"/>
            </w:tcBorders>
          </w:tcPr>
          <w:p w14:paraId="66F1541A" w14:textId="3CF90987" w:rsidR="005028DD" w:rsidRPr="00107502" w:rsidRDefault="005028DD" w:rsidP="007B04B1">
            <w:pPr>
              <w:jc w:val="left"/>
            </w:pPr>
            <w:r w:rsidRPr="00107502">
              <w:t>Appendix D – Supply Chain Code of Conduct</w:t>
            </w:r>
          </w:p>
        </w:tc>
        <w:tc>
          <w:tcPr>
            <w:tcW w:w="6520" w:type="dxa"/>
            <w:gridSpan w:val="4"/>
          </w:tcPr>
          <w:p w14:paraId="53345D22" w14:textId="4DF9AB92" w:rsidR="005028DD" w:rsidRPr="00107502" w:rsidRDefault="005028DD" w:rsidP="007B04B1">
            <w:pPr>
              <w:jc w:val="left"/>
              <w:rPr>
                <w:szCs w:val="22"/>
              </w:rPr>
            </w:pPr>
            <w:r w:rsidRPr="00107502">
              <w:t>Submission prior to Award</w:t>
            </w:r>
          </w:p>
        </w:tc>
      </w:tr>
      <w:tr w:rsidR="005028DD" w:rsidRPr="00B764B2" w14:paraId="1C98E62F" w14:textId="77777777" w:rsidTr="00B82FCE">
        <w:trPr>
          <w:trHeight w:val="19"/>
        </w:trPr>
        <w:tc>
          <w:tcPr>
            <w:tcW w:w="1731" w:type="dxa"/>
            <w:tcBorders>
              <w:top w:val="nil"/>
              <w:left w:val="single" w:sz="4" w:space="0" w:color="auto"/>
              <w:bottom w:val="single" w:sz="4" w:space="0" w:color="auto"/>
              <w:right w:val="single" w:sz="4" w:space="0" w:color="auto"/>
            </w:tcBorders>
            <w:shd w:val="clear" w:color="auto" w:fill="CCC0D9" w:themeFill="accent4" w:themeFillTint="66"/>
          </w:tcPr>
          <w:p w14:paraId="7CE5FA77" w14:textId="77777777" w:rsidR="005028DD" w:rsidRPr="004921A3" w:rsidRDefault="005028DD" w:rsidP="007B04B1">
            <w:pPr>
              <w:jc w:val="left"/>
              <w:rPr>
                <w:highlight w:val="yellow"/>
              </w:rPr>
            </w:pPr>
          </w:p>
        </w:tc>
        <w:tc>
          <w:tcPr>
            <w:tcW w:w="2948" w:type="dxa"/>
            <w:tcBorders>
              <w:left w:val="single" w:sz="4" w:space="0" w:color="auto"/>
            </w:tcBorders>
          </w:tcPr>
          <w:p w14:paraId="1DC6A9FC" w14:textId="77777777" w:rsidR="005028DD" w:rsidRPr="00107502" w:rsidRDefault="005028DD" w:rsidP="007B04B1">
            <w:pPr>
              <w:jc w:val="left"/>
            </w:pPr>
            <w:r w:rsidRPr="00107502">
              <w:t>Appendix D – Supply Chain Code of Conduct</w:t>
            </w:r>
          </w:p>
        </w:tc>
        <w:tc>
          <w:tcPr>
            <w:tcW w:w="6520" w:type="dxa"/>
            <w:gridSpan w:val="4"/>
          </w:tcPr>
          <w:p w14:paraId="6973DAAC" w14:textId="77777777" w:rsidR="005028DD" w:rsidRPr="00107502" w:rsidRDefault="005028DD" w:rsidP="007B04B1">
            <w:pPr>
              <w:jc w:val="left"/>
            </w:pPr>
            <w:r w:rsidRPr="00107502">
              <w:t>Submission prior to Award</w:t>
            </w:r>
          </w:p>
        </w:tc>
      </w:tr>
      <w:tr w:rsidR="005028DD" w:rsidRPr="00B764B2" w14:paraId="4EE99411" w14:textId="7E37E21E" w:rsidTr="00B82FCE">
        <w:trPr>
          <w:trHeight w:val="19"/>
        </w:trPr>
        <w:tc>
          <w:tcPr>
            <w:tcW w:w="11199" w:type="dxa"/>
            <w:gridSpan w:val="6"/>
            <w:shd w:val="clear" w:color="auto" w:fill="CCC0D9" w:themeFill="accent4" w:themeFillTint="66"/>
          </w:tcPr>
          <w:p w14:paraId="30C3498E" w14:textId="77777777" w:rsidR="005028DD" w:rsidRPr="004921A3" w:rsidRDefault="005028DD" w:rsidP="007B04B1">
            <w:pPr>
              <w:jc w:val="center"/>
              <w:rPr>
                <w:b/>
                <w:highlight w:val="yellow"/>
              </w:rPr>
            </w:pPr>
            <w:r>
              <w:rPr>
                <w:b/>
                <w:highlight w:val="yellow"/>
              </w:rPr>
              <w:t>Commercial Envelope Lot – 3</w:t>
            </w:r>
            <w:r w:rsidRPr="004921A3">
              <w:rPr>
                <w:b/>
                <w:highlight w:val="yellow"/>
              </w:rPr>
              <w:t>0%</w:t>
            </w:r>
          </w:p>
        </w:tc>
      </w:tr>
      <w:tr w:rsidR="005028DD" w:rsidRPr="00B764B2" w14:paraId="3FA1F320" w14:textId="77777777" w:rsidTr="00E349BA">
        <w:trPr>
          <w:trHeight w:val="19"/>
        </w:trPr>
        <w:tc>
          <w:tcPr>
            <w:tcW w:w="1731" w:type="dxa"/>
            <w:vMerge w:val="restart"/>
            <w:shd w:val="clear" w:color="auto" w:fill="CCC0D9" w:themeFill="accent4" w:themeFillTint="66"/>
          </w:tcPr>
          <w:p w14:paraId="71E234F4" w14:textId="77777777" w:rsidR="005028DD" w:rsidRPr="004921A3" w:rsidRDefault="005028DD" w:rsidP="007B04B1">
            <w:pPr>
              <w:jc w:val="left"/>
              <w:rPr>
                <w:highlight w:val="yellow"/>
              </w:rPr>
            </w:pPr>
          </w:p>
        </w:tc>
        <w:tc>
          <w:tcPr>
            <w:tcW w:w="2948" w:type="dxa"/>
          </w:tcPr>
          <w:p w14:paraId="0E165A3F" w14:textId="6F9FE674" w:rsidR="005028DD" w:rsidRPr="004921A3" w:rsidRDefault="005028DD" w:rsidP="007B04B1">
            <w:pPr>
              <w:jc w:val="left"/>
              <w:rPr>
                <w:szCs w:val="22"/>
                <w:highlight w:val="yellow"/>
              </w:rPr>
            </w:pPr>
            <w:r w:rsidRPr="00EA5357">
              <w:rPr>
                <w:rFonts w:cs="Arial"/>
                <w:szCs w:val="22"/>
              </w:rPr>
              <w:t>Total Costs of Proposal for Vanguard Institution</w:t>
            </w:r>
          </w:p>
        </w:tc>
        <w:tc>
          <w:tcPr>
            <w:tcW w:w="1134" w:type="dxa"/>
          </w:tcPr>
          <w:p w14:paraId="0A90E20E" w14:textId="7C5900D5" w:rsidR="005028DD" w:rsidRPr="004921A3" w:rsidRDefault="005028DD" w:rsidP="007B04B1">
            <w:pPr>
              <w:jc w:val="center"/>
              <w:rPr>
                <w:highlight w:val="yellow"/>
              </w:rPr>
            </w:pPr>
            <w:r>
              <w:rPr>
                <w:highlight w:val="yellow"/>
              </w:rPr>
              <w:t>20%</w:t>
            </w:r>
          </w:p>
        </w:tc>
        <w:tc>
          <w:tcPr>
            <w:tcW w:w="3969" w:type="dxa"/>
            <w:gridSpan w:val="2"/>
          </w:tcPr>
          <w:p w14:paraId="733CEB48" w14:textId="6998E016" w:rsidR="005028DD" w:rsidRPr="004921A3" w:rsidRDefault="005028DD" w:rsidP="007B04B1">
            <w:pPr>
              <w:jc w:val="left"/>
              <w:rPr>
                <w:highlight w:val="yellow"/>
              </w:rPr>
            </w:pPr>
            <w:r w:rsidRPr="00DE7F34">
              <w:t xml:space="preserve">As per </w:t>
            </w:r>
            <w:r>
              <w:t>Appendix F, Pricing Schedule</w:t>
            </w:r>
          </w:p>
        </w:tc>
        <w:tc>
          <w:tcPr>
            <w:tcW w:w="1417" w:type="dxa"/>
          </w:tcPr>
          <w:p w14:paraId="031B0BD7" w14:textId="77777777" w:rsidR="005028DD" w:rsidRPr="004921A3" w:rsidRDefault="005028DD" w:rsidP="007B04B1">
            <w:pPr>
              <w:jc w:val="left"/>
              <w:rPr>
                <w:highlight w:val="yellow"/>
              </w:rPr>
            </w:pPr>
          </w:p>
        </w:tc>
      </w:tr>
      <w:tr w:rsidR="005028DD" w:rsidRPr="00B764B2" w14:paraId="30FF9CE9" w14:textId="77777777" w:rsidTr="00E349BA">
        <w:trPr>
          <w:trHeight w:val="19"/>
        </w:trPr>
        <w:tc>
          <w:tcPr>
            <w:tcW w:w="1731" w:type="dxa"/>
            <w:vMerge/>
            <w:shd w:val="clear" w:color="auto" w:fill="CCC0D9" w:themeFill="accent4" w:themeFillTint="66"/>
          </w:tcPr>
          <w:p w14:paraId="2EF6C7CB" w14:textId="77777777" w:rsidR="005028DD" w:rsidRPr="004921A3" w:rsidRDefault="005028DD" w:rsidP="007B04B1">
            <w:pPr>
              <w:jc w:val="left"/>
              <w:rPr>
                <w:highlight w:val="yellow"/>
              </w:rPr>
            </w:pPr>
          </w:p>
        </w:tc>
        <w:tc>
          <w:tcPr>
            <w:tcW w:w="2948" w:type="dxa"/>
          </w:tcPr>
          <w:p w14:paraId="4C5B7C48" w14:textId="1A976226" w:rsidR="005028DD" w:rsidRPr="004921A3" w:rsidRDefault="005028DD" w:rsidP="007B04B1">
            <w:pPr>
              <w:jc w:val="left"/>
              <w:rPr>
                <w:rFonts w:cs="Arial"/>
                <w:szCs w:val="22"/>
                <w:highlight w:val="yellow"/>
              </w:rPr>
            </w:pPr>
            <w:r w:rsidRPr="00C66F95">
              <w:rPr>
                <w:szCs w:val="22"/>
              </w:rPr>
              <w:t>Framework Rates</w:t>
            </w:r>
            <w:r>
              <w:rPr>
                <w:szCs w:val="22"/>
              </w:rPr>
              <w:t xml:space="preserve"> Card</w:t>
            </w:r>
          </w:p>
        </w:tc>
        <w:tc>
          <w:tcPr>
            <w:tcW w:w="1134" w:type="dxa"/>
          </w:tcPr>
          <w:p w14:paraId="6CBBAD98" w14:textId="5F43BBD6" w:rsidR="005028DD" w:rsidRPr="004921A3" w:rsidRDefault="005028DD" w:rsidP="007B04B1">
            <w:pPr>
              <w:jc w:val="center"/>
              <w:rPr>
                <w:highlight w:val="yellow"/>
              </w:rPr>
            </w:pPr>
            <w:r>
              <w:rPr>
                <w:highlight w:val="yellow"/>
              </w:rPr>
              <w:t>10%</w:t>
            </w:r>
          </w:p>
        </w:tc>
        <w:tc>
          <w:tcPr>
            <w:tcW w:w="3969" w:type="dxa"/>
            <w:gridSpan w:val="2"/>
          </w:tcPr>
          <w:p w14:paraId="76FF9F72" w14:textId="7B73DFD2" w:rsidR="005028DD" w:rsidRDefault="005028DD" w:rsidP="007B04B1">
            <w:pPr>
              <w:jc w:val="left"/>
            </w:pPr>
            <w:r>
              <w:t>As per Appendix F, Pricing Schedule</w:t>
            </w:r>
          </w:p>
        </w:tc>
        <w:tc>
          <w:tcPr>
            <w:tcW w:w="1417" w:type="dxa"/>
          </w:tcPr>
          <w:p w14:paraId="4794C2BD" w14:textId="77777777" w:rsidR="005028DD" w:rsidRDefault="005028DD" w:rsidP="007B04B1">
            <w:pPr>
              <w:jc w:val="left"/>
              <w:rPr>
                <w:highlight w:val="yellow"/>
              </w:rPr>
            </w:pPr>
          </w:p>
        </w:tc>
      </w:tr>
    </w:tbl>
    <w:p w14:paraId="689B7724" w14:textId="77777777" w:rsidR="00F23281" w:rsidRPr="00B764B2" w:rsidRDefault="00F23281" w:rsidP="00802874"/>
    <w:p w14:paraId="2F369BC9" w14:textId="77777777" w:rsidR="00F23281" w:rsidRPr="00B764B2" w:rsidRDefault="00F23281" w:rsidP="0069432E">
      <w:pPr>
        <w:pStyle w:val="Heading1"/>
      </w:pPr>
      <w:r w:rsidRPr="00B764B2">
        <w:t xml:space="preserve">Tenderers’ Conference </w:t>
      </w:r>
    </w:p>
    <w:p w14:paraId="5D034396" w14:textId="1B877947" w:rsidR="00F23281" w:rsidRPr="00B764B2" w:rsidRDefault="00F23281" w:rsidP="00C8002D">
      <w:pPr>
        <w:pStyle w:val="Heading2"/>
      </w:pPr>
      <w:r w:rsidRPr="00107502">
        <w:t xml:space="preserve">A Tenderers conference </w:t>
      </w:r>
      <w:r w:rsidR="00D935B9">
        <w:t>may</w:t>
      </w:r>
      <w:r w:rsidR="0025197B" w:rsidRPr="00D935B9">
        <w:t xml:space="preserve"> </w:t>
      </w:r>
      <w:r w:rsidRPr="00107502">
        <w:t>take place.</w:t>
      </w:r>
    </w:p>
    <w:p w14:paraId="6144BBF7" w14:textId="77777777" w:rsidR="00AD472C" w:rsidRPr="00B764B2" w:rsidRDefault="00F75E17" w:rsidP="0069432E">
      <w:pPr>
        <w:pStyle w:val="Heading1"/>
      </w:pPr>
      <w:r w:rsidRPr="00B764B2">
        <w:t>Bid Clarifications</w:t>
      </w:r>
    </w:p>
    <w:p w14:paraId="24EBD0D8" w14:textId="77777777" w:rsidR="00C846B2" w:rsidRPr="00B764B2" w:rsidRDefault="005377B2" w:rsidP="00C8002D">
      <w:pPr>
        <w:pStyle w:val="Heading2"/>
      </w:pPr>
      <w:r w:rsidRPr="00B764B2">
        <w:t>Bid clarifications</w:t>
      </w:r>
      <w:r w:rsidR="00552EBE" w:rsidRPr="00B764B2">
        <w:t xml:space="preserve"> </w:t>
      </w:r>
      <w:r w:rsidRPr="00B764B2">
        <w:t xml:space="preserve">may take place via the PCS-T messaging portal </w:t>
      </w:r>
      <w:r w:rsidR="005C137A" w:rsidRPr="00B764B2">
        <w:t>only.</w:t>
      </w:r>
      <w:r w:rsidR="00C846B2" w:rsidRPr="00B764B2">
        <w:t xml:space="preserve">  </w:t>
      </w:r>
    </w:p>
    <w:p w14:paraId="05B7A758" w14:textId="77777777" w:rsidR="00AD472C" w:rsidRPr="00B764B2" w:rsidRDefault="00AD472C" w:rsidP="0069432E">
      <w:pPr>
        <w:pStyle w:val="Heading1"/>
      </w:pPr>
      <w:r w:rsidRPr="00B764B2">
        <w:t>Notification of Award</w:t>
      </w:r>
    </w:p>
    <w:p w14:paraId="719B8946" w14:textId="769543C7" w:rsidR="00D73DED" w:rsidRPr="00802874" w:rsidRDefault="00552EBE" w:rsidP="00C8002D">
      <w:pPr>
        <w:pStyle w:val="Heading2"/>
        <w:rPr>
          <w:kern w:val="0"/>
        </w:rPr>
      </w:pPr>
      <w:r w:rsidRPr="00B764B2">
        <w:t>The Authority will notify successful and unsuccessful Tenderers in accorda</w:t>
      </w:r>
      <w:r w:rsidR="00303C10">
        <w:t>nce with the Regulations. A ten-</w:t>
      </w:r>
      <w:r w:rsidRPr="00B764B2">
        <w:t xml:space="preserve">day standstill period will </w:t>
      </w:r>
      <w:r w:rsidR="00945C48" w:rsidRPr="00B764B2">
        <w:t>be observed</w:t>
      </w:r>
      <w:r w:rsidRPr="00B764B2">
        <w:t xml:space="preserve"> in accordance with the Regulations before the Authority enters in</w:t>
      </w:r>
      <w:r w:rsidR="00AD4E46" w:rsidRPr="00B764B2">
        <w:t>to</w:t>
      </w:r>
      <w:r w:rsidRPr="00B764B2">
        <w:t xml:space="preserve"> the Framework Agreement.</w:t>
      </w:r>
    </w:p>
    <w:p w14:paraId="76EE2602" w14:textId="77777777" w:rsidR="00AD472C" w:rsidRPr="004838CA" w:rsidRDefault="00AD472C" w:rsidP="0069432E">
      <w:pPr>
        <w:pStyle w:val="Heading1"/>
      </w:pPr>
      <w:r w:rsidRPr="004838CA">
        <w:t>Debriefing</w:t>
      </w:r>
    </w:p>
    <w:p w14:paraId="29350401" w14:textId="77777777" w:rsidR="0048233C" w:rsidRPr="00B764B2" w:rsidRDefault="00552EBE" w:rsidP="00C8002D">
      <w:pPr>
        <w:pStyle w:val="Heading2"/>
      </w:pPr>
      <w:r w:rsidRPr="00B764B2">
        <w:t>Following a decision to award the Framework Agreement, the Authority will provide reasons for its decision in an award notification letter</w:t>
      </w:r>
      <w:r w:rsidR="006F0F1A" w:rsidRPr="00B764B2">
        <w:t xml:space="preserve"> to Tenderers in line with the Regulations</w:t>
      </w:r>
      <w:r w:rsidR="00AD4E46" w:rsidRPr="00B764B2">
        <w:t>.</w:t>
      </w:r>
    </w:p>
    <w:p w14:paraId="71E755C7" w14:textId="77777777" w:rsidR="004232F9" w:rsidRPr="004838CA" w:rsidRDefault="0048233C" w:rsidP="0069432E">
      <w:pPr>
        <w:pStyle w:val="Heading1"/>
      </w:pPr>
      <w:r w:rsidRPr="004838CA">
        <w:t>F</w:t>
      </w:r>
      <w:r w:rsidR="004232F9" w:rsidRPr="004838CA">
        <w:t>orm of Tender</w:t>
      </w:r>
    </w:p>
    <w:p w14:paraId="52D2B511" w14:textId="77777777" w:rsidR="00AD472C" w:rsidRPr="00B764B2" w:rsidRDefault="00AD472C" w:rsidP="00C8002D">
      <w:pPr>
        <w:pStyle w:val="Heading2"/>
      </w:pPr>
      <w:r w:rsidRPr="00B764B2">
        <w:t>The essence of co</w:t>
      </w:r>
      <w:r w:rsidR="00AD4E46" w:rsidRPr="00B764B2">
        <w:t>mpetitive tendering is that the Authority</w:t>
      </w:r>
      <w:r w:rsidRPr="00B764B2">
        <w:t xml:space="preserve"> should receive bona fide competitive tenders from all firms tendering.</w:t>
      </w:r>
      <w:r w:rsidR="00C846B2" w:rsidRPr="00B764B2">
        <w:t xml:space="preserve">  </w:t>
      </w:r>
    </w:p>
    <w:p w14:paraId="78793E17" w14:textId="77777777" w:rsidR="003110F6" w:rsidRPr="00B764B2" w:rsidRDefault="00AD472C" w:rsidP="00C8002D">
      <w:pPr>
        <w:pStyle w:val="Heading2"/>
      </w:pPr>
      <w:r w:rsidRPr="00B764B2">
        <w:t xml:space="preserve">In recognition of this principle, Tenderers must sign the Form of Tender – Appendix A </w:t>
      </w:r>
      <w:r w:rsidR="0097311E" w:rsidRPr="00B764B2">
        <w:t xml:space="preserve">prior to award </w:t>
      </w:r>
      <w:r w:rsidRPr="00B764B2">
        <w:t>to confirm that their Tender Response is a complete, true and accurate submission.</w:t>
      </w:r>
      <w:r w:rsidR="004232F9" w:rsidRPr="00B764B2">
        <w:t xml:space="preserve"> </w:t>
      </w:r>
      <w:r w:rsidR="000A2658" w:rsidRPr="00B764B2">
        <w:t xml:space="preserve">   </w:t>
      </w:r>
    </w:p>
    <w:p w14:paraId="5E4FEE4B" w14:textId="77777777" w:rsidR="004232F9" w:rsidRPr="00B764B2" w:rsidRDefault="00556908" w:rsidP="0069432E">
      <w:pPr>
        <w:pStyle w:val="Heading1"/>
      </w:pPr>
      <w:r w:rsidRPr="00B764B2">
        <w:t>Supply Chain Code of Conduct</w:t>
      </w:r>
    </w:p>
    <w:p w14:paraId="3B75897D" w14:textId="77777777" w:rsidR="00C53305" w:rsidRPr="00B764B2" w:rsidRDefault="005377B2" w:rsidP="00C8002D">
      <w:pPr>
        <w:pStyle w:val="Heading2"/>
      </w:pPr>
      <w:r w:rsidRPr="00B764B2">
        <w:t>The Authority</w:t>
      </w:r>
      <w:r w:rsidR="00C53305" w:rsidRPr="00B764B2">
        <w:t xml:space="preserve"> is committed to delivering Framework Agreements on behalf of its client </w:t>
      </w:r>
      <w:r w:rsidR="00F0168A" w:rsidRPr="00B764B2">
        <w:t>Institution</w:t>
      </w:r>
      <w:r w:rsidR="00C53305" w:rsidRPr="00B764B2">
        <w:t>s that demonstrate and meet its sustainable procurement objectives, driving through positive social, environmental and economic impacts wherever possible.</w:t>
      </w:r>
    </w:p>
    <w:p w14:paraId="27285CE0" w14:textId="77777777" w:rsidR="00556908" w:rsidRPr="00B764B2" w:rsidRDefault="00C53305" w:rsidP="00C8002D">
      <w:pPr>
        <w:pStyle w:val="Heading2"/>
      </w:pPr>
      <w:r w:rsidRPr="00B764B2">
        <w:t>In par</w:t>
      </w:r>
      <w:r w:rsidR="005377B2" w:rsidRPr="00B764B2">
        <w:t xml:space="preserve">tnership with </w:t>
      </w:r>
      <w:r w:rsidR="00F0168A" w:rsidRPr="00B764B2">
        <w:t>Institution</w:t>
      </w:r>
      <w:r w:rsidR="005377B2" w:rsidRPr="00B764B2">
        <w:t>s, the Authority</w:t>
      </w:r>
      <w:r w:rsidRPr="00B764B2">
        <w:t xml:space="preserve"> has developed a Supply Ch</w:t>
      </w:r>
      <w:r w:rsidR="005377B2" w:rsidRPr="00B764B2">
        <w:t xml:space="preserve">ain Code of Conduct – Appendix </w:t>
      </w:r>
      <w:r w:rsidR="00C11AC1" w:rsidRPr="00B764B2">
        <w:t>D</w:t>
      </w:r>
      <w:r w:rsidRPr="00B764B2">
        <w:t xml:space="preserve"> which sets out its expected standards for its supply chain in social, ethical and environmental compliance. </w:t>
      </w:r>
    </w:p>
    <w:p w14:paraId="527FB665" w14:textId="77777777" w:rsidR="004232F9" w:rsidRPr="00B764B2" w:rsidRDefault="00556908" w:rsidP="00C8002D">
      <w:pPr>
        <w:pStyle w:val="Heading2"/>
      </w:pPr>
      <w:r w:rsidRPr="00B764B2">
        <w:t xml:space="preserve">Tenderers </w:t>
      </w:r>
      <w:r w:rsidR="00D33298" w:rsidRPr="00B764B2">
        <w:t>must</w:t>
      </w:r>
      <w:r w:rsidRPr="00B764B2">
        <w:t xml:space="preserve"> complete the Supply Chain </w:t>
      </w:r>
      <w:r w:rsidR="000A3538" w:rsidRPr="00B764B2">
        <w:t>Code of</w:t>
      </w:r>
      <w:r w:rsidRPr="00B764B2">
        <w:t xml:space="preserve"> Conduct to assist in achieving its objectives</w:t>
      </w:r>
      <w:r w:rsidR="0097311E" w:rsidRPr="00B764B2">
        <w:t xml:space="preserve"> prior to award</w:t>
      </w:r>
      <w:r w:rsidRPr="00B764B2">
        <w:t>.</w:t>
      </w:r>
      <w:r w:rsidR="004232F9" w:rsidRPr="00B764B2">
        <w:t xml:space="preserve"> </w:t>
      </w:r>
    </w:p>
    <w:p w14:paraId="0885234D" w14:textId="77777777" w:rsidR="00C11C38" w:rsidRPr="00B764B2" w:rsidRDefault="00EC078A" w:rsidP="00C8002D">
      <w:pPr>
        <w:pStyle w:val="Heading2"/>
      </w:pPr>
      <w:r w:rsidRPr="00B764B2">
        <w:t xml:space="preserve">For more detail on our Supply Chain Sustainability project please see the website </w:t>
      </w:r>
      <w:hyperlink r:id="rId12" w:anchor="!/susproject.php" w:history="1">
        <w:r w:rsidR="002823B4" w:rsidRPr="00B764B2">
          <w:rPr>
            <w:rStyle w:val="Hyperlink"/>
          </w:rPr>
          <w:t>http://www.apuc-scot.ac.uk/#!/susproject.php</w:t>
        </w:r>
      </w:hyperlink>
    </w:p>
    <w:p w14:paraId="76A7F5F2" w14:textId="6607202B" w:rsidR="002B5101" w:rsidRPr="00B764B2" w:rsidRDefault="002B5101" w:rsidP="00C8002D">
      <w:pPr>
        <w:pStyle w:val="Heading2"/>
      </w:pPr>
      <w:r w:rsidRPr="00B764B2">
        <w:t xml:space="preserve">The Contractor(s) will be </w:t>
      </w:r>
      <w:r w:rsidR="00945C48" w:rsidRPr="00B764B2">
        <w:t>encourag</w:t>
      </w:r>
      <w:r w:rsidRPr="00B764B2">
        <w:t xml:space="preserve">ed to participate in </w:t>
      </w:r>
      <w:r w:rsidR="005377B2" w:rsidRPr="00B764B2">
        <w:t xml:space="preserve">the Authority’s </w:t>
      </w:r>
      <w:r w:rsidRPr="00B764B2">
        <w:t>Sustainable Supply Chain Audit Programme</w:t>
      </w:r>
      <w:r w:rsidR="00686DA8">
        <w:t xml:space="preserve">, </w:t>
      </w:r>
      <w:hyperlink r:id="rId13" w:history="1">
        <w:r w:rsidR="00686DA8" w:rsidRPr="00686DA8">
          <w:rPr>
            <w:rStyle w:val="Hyperlink"/>
          </w:rPr>
          <w:t>Sustain</w:t>
        </w:r>
      </w:hyperlink>
      <w:r w:rsidR="00686DA8">
        <w:t>,</w:t>
      </w:r>
      <w:r w:rsidRPr="00B764B2">
        <w:t xml:space="preserve"> to determine their compliance with the Code of Conduct. This will involve completion of an on-line assessment questionnaire, provision of documentary evidence and supporting/facilitati</w:t>
      </w:r>
      <w:r w:rsidR="00EE4094" w:rsidRPr="00B764B2">
        <w:t>ng potential site visits by the Authority</w:t>
      </w:r>
      <w:r w:rsidRPr="00B764B2">
        <w:t xml:space="preserve"> or a nominated third party to assess site(s) compliance. </w:t>
      </w:r>
      <w:r w:rsidR="005377B2" w:rsidRPr="00B764B2">
        <w:t>The Authority</w:t>
      </w:r>
      <w:r w:rsidRPr="00B764B2">
        <w:t xml:space="preserve"> is carrying out this audit pro</w:t>
      </w:r>
      <w:r w:rsidR="00C54C71" w:rsidRPr="00B764B2">
        <w:t xml:space="preserve">gramme on behalf of its client </w:t>
      </w:r>
      <w:r w:rsidR="00F0168A" w:rsidRPr="00B764B2">
        <w:t>Institution</w:t>
      </w:r>
      <w:r w:rsidRPr="00B764B2">
        <w:t>s in order to assess the social, ethical, economic and environmental compliance of its suppliers and supply chain and will seek to eliminate poor/non-compliant practise and exploit good practice/opportunities where possible.</w:t>
      </w:r>
      <w:r w:rsidR="000A2658" w:rsidRPr="00B764B2">
        <w:t xml:space="preserve">    </w:t>
      </w:r>
    </w:p>
    <w:p w14:paraId="63EF569E" w14:textId="0B3874A6" w:rsidR="00686DA8" w:rsidRPr="00AB5017" w:rsidRDefault="00686DA8" w:rsidP="00686DA8">
      <w:pPr>
        <w:pStyle w:val="Heading1"/>
      </w:pPr>
      <w:r w:rsidRPr="00AB5017">
        <w:t>Invoicing and Payment</w:t>
      </w:r>
    </w:p>
    <w:p w14:paraId="37A7FD01" w14:textId="2C17A490" w:rsidR="00686DA8" w:rsidRPr="00686DA8" w:rsidRDefault="00686DA8" w:rsidP="00686DA8">
      <w:pPr>
        <w:pStyle w:val="Heading2"/>
      </w:pPr>
      <w:r w:rsidRPr="00686DA8">
        <w:t>Payment will be made to the Contractor based on the Terms and Conditions of the Framework Agreement and the Call off Contract Terms and Conditions as they apply.</w:t>
      </w:r>
    </w:p>
    <w:p w14:paraId="42A1E29C" w14:textId="5E360990" w:rsidR="00686DA8" w:rsidRPr="00686DA8" w:rsidRDefault="00686DA8" w:rsidP="00686DA8">
      <w:pPr>
        <w:pStyle w:val="Heading2"/>
      </w:pPr>
      <w:r w:rsidRPr="00686DA8">
        <w:t>For routine charges the Contractor will be required to submit invoices (net of any Service Credits or the like for the previous charging period), monthly in arrears for work completed to the satisfaction of the Institution in accordance with the Terms &amp; Conditions of the Framework Agreement and Call off Contract.</w:t>
      </w:r>
      <w:r w:rsidR="00042A1B">
        <w:t xml:space="preserve">  All Contractor billing and Payments must be in Sterling</w:t>
      </w:r>
      <w:r w:rsidR="003A196F">
        <w:t xml:space="preserve"> for the duration of all Call off Contracts made through the Framework</w:t>
      </w:r>
      <w:r w:rsidR="00042A1B">
        <w:t xml:space="preserve">.  </w:t>
      </w:r>
    </w:p>
    <w:p w14:paraId="49B7A453" w14:textId="1DF6DA8E" w:rsidR="00686DA8" w:rsidRPr="00686DA8" w:rsidRDefault="00686DA8" w:rsidP="00686DA8">
      <w:pPr>
        <w:pStyle w:val="Heading2"/>
      </w:pPr>
      <w:r w:rsidRPr="00686DA8">
        <w:t>For implementation and mobilisation charged the Contractor will be paid as various key stages of the project are completed to the satisfaction of the relevant Institution. Pa</w:t>
      </w:r>
      <w:r w:rsidR="00061460">
        <w:t>yments will be calculated as a percentage</w:t>
      </w:r>
      <w:r w:rsidRPr="00686DA8">
        <w:t xml:space="preserve"> of the total tendered invoice cost.</w:t>
      </w:r>
    </w:p>
    <w:p w14:paraId="78A0EFAF" w14:textId="08061C44" w:rsidR="00547973" w:rsidRDefault="00686DA8" w:rsidP="00686DA8">
      <w:pPr>
        <w:pStyle w:val="Heading2"/>
      </w:pPr>
      <w:r w:rsidRPr="00686DA8">
        <w:t>The specific payment terms and amounts will be set out in each Cal</w:t>
      </w:r>
      <w:r>
        <w:t>l-off Contract. In the c</w:t>
      </w:r>
      <w:r w:rsidR="00061460">
        <w:t>ase of the vanguard institution, Glasgow School of Art,</w:t>
      </w:r>
      <w:r>
        <w:t xml:space="preserve"> </w:t>
      </w:r>
      <w:r w:rsidRPr="00686DA8">
        <w:t>these are set out below:</w:t>
      </w:r>
    </w:p>
    <w:p w14:paraId="6D7708AF" w14:textId="77777777" w:rsidR="00547973" w:rsidRDefault="00547973">
      <w:pPr>
        <w:ind w:left="720" w:hanging="720"/>
        <w:rPr>
          <w:kern w:val="24"/>
        </w:rPr>
      </w:pPr>
      <w:r>
        <w:br w:type="page"/>
      </w:r>
    </w:p>
    <w:p w14:paraId="771F54D3" w14:textId="77777777" w:rsidR="00686DA8" w:rsidRPr="00686DA8" w:rsidRDefault="00686DA8" w:rsidP="00547973">
      <w:pPr>
        <w:pStyle w:val="Heading2"/>
        <w:numPr>
          <w:ilvl w:val="0"/>
          <w:numId w:val="0"/>
        </w:numPr>
        <w:ind w:left="992"/>
      </w:pPr>
    </w:p>
    <w:tbl>
      <w:tblPr>
        <w:tblW w:w="454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6214"/>
      </w:tblGrid>
      <w:tr w:rsidR="00686DA8" w:rsidRPr="00686DA8" w14:paraId="1BA3101E" w14:textId="77777777" w:rsidTr="00CD04BF">
        <w:tc>
          <w:tcPr>
            <w:tcW w:w="1298" w:type="pct"/>
          </w:tcPr>
          <w:p w14:paraId="7CB9500E" w14:textId="6E5F7D4A" w:rsidR="00686DA8" w:rsidRPr="00686DA8" w:rsidRDefault="00CD04BF" w:rsidP="00CD04BF">
            <w:pPr>
              <w:jc w:val="left"/>
              <w:rPr>
                <w:b/>
              </w:rPr>
            </w:pPr>
            <w:r>
              <w:rPr>
                <w:b/>
              </w:rPr>
              <w:t xml:space="preserve">Percentage </w:t>
            </w:r>
            <w:r w:rsidR="00686DA8" w:rsidRPr="00686DA8">
              <w:rPr>
                <w:b/>
              </w:rPr>
              <w:t xml:space="preserve"> of </w:t>
            </w:r>
            <w:r>
              <w:rPr>
                <w:b/>
              </w:rPr>
              <w:t>Implementation Total Costs</w:t>
            </w:r>
          </w:p>
        </w:tc>
        <w:tc>
          <w:tcPr>
            <w:tcW w:w="3702" w:type="pct"/>
          </w:tcPr>
          <w:p w14:paraId="6C412E88" w14:textId="77777777" w:rsidR="00686DA8" w:rsidRPr="00686DA8" w:rsidRDefault="00686DA8" w:rsidP="00CD04BF">
            <w:pPr>
              <w:jc w:val="left"/>
              <w:rPr>
                <w:b/>
              </w:rPr>
            </w:pPr>
            <w:r w:rsidRPr="00686DA8">
              <w:rPr>
                <w:b/>
              </w:rPr>
              <w:t>May be Invoiced on or after</w:t>
            </w:r>
          </w:p>
        </w:tc>
      </w:tr>
      <w:tr w:rsidR="00686DA8" w:rsidRPr="00686DA8" w14:paraId="34D9A743" w14:textId="77777777" w:rsidTr="00CD04BF">
        <w:tc>
          <w:tcPr>
            <w:tcW w:w="1298" w:type="pct"/>
            <w:vAlign w:val="center"/>
          </w:tcPr>
          <w:p w14:paraId="59AE1A5A" w14:textId="71F01C7E" w:rsidR="00686DA8" w:rsidRPr="00547973" w:rsidRDefault="00061460" w:rsidP="00686DA8">
            <w:r w:rsidRPr="00547973">
              <w:t>5</w:t>
            </w:r>
            <w:r w:rsidR="00686DA8" w:rsidRPr="00547973">
              <w:t>%</w:t>
            </w:r>
          </w:p>
        </w:tc>
        <w:tc>
          <w:tcPr>
            <w:tcW w:w="3702" w:type="pct"/>
            <w:vAlign w:val="center"/>
          </w:tcPr>
          <w:p w14:paraId="0735C52B" w14:textId="53205D2D" w:rsidR="00686DA8" w:rsidRPr="00686DA8" w:rsidRDefault="00061460" w:rsidP="00686DA8">
            <w:r>
              <w:t xml:space="preserve">Upon sign-off of a complete </w:t>
            </w:r>
            <w:r w:rsidR="008B08E2">
              <w:t xml:space="preserve">Project Implementation plan, agreed </w:t>
            </w:r>
            <w:r>
              <w:t>by both parties</w:t>
            </w:r>
            <w:r w:rsidR="008B08E2">
              <w:t xml:space="preserve">, compliant with all Customer milestones specified within the ITT.   </w:t>
            </w:r>
            <w:r>
              <w:t xml:space="preserve"> </w:t>
            </w:r>
          </w:p>
        </w:tc>
      </w:tr>
      <w:tr w:rsidR="00686DA8" w:rsidRPr="00686DA8" w14:paraId="0DFA821C" w14:textId="77777777" w:rsidTr="00CD04BF">
        <w:tc>
          <w:tcPr>
            <w:tcW w:w="1298" w:type="pct"/>
            <w:vAlign w:val="center"/>
          </w:tcPr>
          <w:p w14:paraId="658F750B" w14:textId="7C29A08E" w:rsidR="00686DA8" w:rsidRPr="00547973" w:rsidRDefault="003102A1" w:rsidP="00686DA8">
            <w:r w:rsidRPr="00547973">
              <w:t>5</w:t>
            </w:r>
            <w:r w:rsidR="00686DA8" w:rsidRPr="00547973">
              <w:t>%</w:t>
            </w:r>
          </w:p>
        </w:tc>
        <w:tc>
          <w:tcPr>
            <w:tcW w:w="3702" w:type="pct"/>
            <w:vAlign w:val="center"/>
          </w:tcPr>
          <w:p w14:paraId="4B8A26AC" w14:textId="77777777" w:rsidR="00686DA8" w:rsidRPr="00686DA8" w:rsidRDefault="00686DA8" w:rsidP="00686DA8">
            <w:r w:rsidRPr="00686DA8">
              <w:t>The date of final Acceptance of the Software by the customer</w:t>
            </w:r>
          </w:p>
        </w:tc>
      </w:tr>
      <w:tr w:rsidR="00686DA8" w:rsidRPr="00686DA8" w14:paraId="7B5DF0C0" w14:textId="77777777" w:rsidTr="00CD04BF">
        <w:tc>
          <w:tcPr>
            <w:tcW w:w="1298" w:type="pct"/>
            <w:vAlign w:val="center"/>
          </w:tcPr>
          <w:p w14:paraId="5E5E15AE" w14:textId="265ED1E4" w:rsidR="00686DA8" w:rsidRPr="00547973" w:rsidRDefault="003102A1" w:rsidP="00686DA8">
            <w:r w:rsidRPr="00547973">
              <w:t>50</w:t>
            </w:r>
            <w:r w:rsidR="00686DA8" w:rsidRPr="00547973">
              <w:t>%</w:t>
            </w:r>
          </w:p>
        </w:tc>
        <w:tc>
          <w:tcPr>
            <w:tcW w:w="3702" w:type="pct"/>
            <w:vAlign w:val="center"/>
          </w:tcPr>
          <w:p w14:paraId="5A72A62D" w14:textId="73369A69" w:rsidR="00686DA8" w:rsidRPr="00686DA8" w:rsidRDefault="009341E3" w:rsidP="00686DA8">
            <w:r>
              <w:t>The date the Customer</w:t>
            </w:r>
            <w:r w:rsidR="00FC6173">
              <w:t xml:space="preserve"> puts the VLE System</w:t>
            </w:r>
            <w:r w:rsidR="00686DA8" w:rsidRPr="00686DA8">
              <w:t xml:space="preserve"> into live operational use </w:t>
            </w:r>
          </w:p>
        </w:tc>
      </w:tr>
      <w:tr w:rsidR="00686DA8" w:rsidRPr="00686DA8" w14:paraId="657346FF" w14:textId="77777777" w:rsidTr="00CD04BF">
        <w:tc>
          <w:tcPr>
            <w:tcW w:w="1298" w:type="pct"/>
            <w:vAlign w:val="center"/>
          </w:tcPr>
          <w:p w14:paraId="5DE9DEDF" w14:textId="4D5B6CA6" w:rsidR="00686DA8" w:rsidRPr="00547973" w:rsidRDefault="009341E3" w:rsidP="00686DA8">
            <w:r w:rsidRPr="00547973">
              <w:t>40</w:t>
            </w:r>
            <w:r w:rsidR="00686DA8" w:rsidRPr="00547973">
              <w:t>%</w:t>
            </w:r>
          </w:p>
        </w:tc>
        <w:tc>
          <w:tcPr>
            <w:tcW w:w="3702" w:type="pct"/>
            <w:vAlign w:val="center"/>
          </w:tcPr>
          <w:p w14:paraId="70180B38" w14:textId="6531306C" w:rsidR="00686DA8" w:rsidRPr="00686DA8" w:rsidRDefault="00686DA8" w:rsidP="00686DA8">
            <w:r w:rsidRPr="00686DA8">
              <w:t xml:space="preserve">The date Sixty days after the first live use of the </w:t>
            </w:r>
            <w:r w:rsidR="00FC6173">
              <w:t xml:space="preserve">VLE </w:t>
            </w:r>
            <w:r w:rsidRPr="00686DA8">
              <w:t xml:space="preserve">System, or if later the first date after the date of first live use that the </w:t>
            </w:r>
            <w:r w:rsidR="00FC6173">
              <w:t xml:space="preserve">VLE </w:t>
            </w:r>
            <w:r w:rsidRPr="00686DA8">
              <w:t xml:space="preserve">System has been running without any Faults for a period of Thirty consecutive days (the "Fault Free for Thirty Days Date"). </w:t>
            </w:r>
            <w:r w:rsidRPr="00686DA8">
              <w:rPr>
                <w:i/>
              </w:rPr>
              <w:t>* Licensing and Hosting becomes chargeable after Fault Free for Thirty Days has been achieved or, if</w:t>
            </w:r>
            <w:r>
              <w:rPr>
                <w:i/>
              </w:rPr>
              <w:t xml:space="preserve"> earlier, only with consent of </w:t>
            </w:r>
            <w:r w:rsidR="009341E3">
              <w:rPr>
                <w:i/>
              </w:rPr>
              <w:t>the C</w:t>
            </w:r>
            <w:r w:rsidRPr="00686DA8">
              <w:rPr>
                <w:i/>
              </w:rPr>
              <w:t>ustomer *</w:t>
            </w:r>
          </w:p>
        </w:tc>
      </w:tr>
    </w:tbl>
    <w:p w14:paraId="51181205" w14:textId="77777777" w:rsidR="00686DA8" w:rsidRPr="00686DA8" w:rsidRDefault="00686DA8" w:rsidP="00686DA8"/>
    <w:p w14:paraId="2B1B9446" w14:textId="1950B5D9" w:rsidR="00FC6173" w:rsidRDefault="00FC6173" w:rsidP="00686DA8">
      <w:pPr>
        <w:pStyle w:val="Heading2"/>
      </w:pPr>
      <w:r>
        <w:t xml:space="preserve">The vanguard institution, Glasgow School of Art, requires a Fixed Price Implementation.  </w:t>
      </w:r>
      <w:r w:rsidR="00E76F38">
        <w:t xml:space="preserve">Tenderers must quote for a Fixed Price Implementation.  </w:t>
      </w:r>
    </w:p>
    <w:p w14:paraId="237836FD" w14:textId="08538E68" w:rsidR="00686DA8" w:rsidRPr="00686DA8" w:rsidRDefault="00686DA8" w:rsidP="00686DA8">
      <w:pPr>
        <w:pStyle w:val="Heading2"/>
      </w:pPr>
      <w:r w:rsidRPr="00686DA8">
        <w:t xml:space="preserve">Value Added Tax, where applicable, shall be shown separately on all invoices as a strictly net extra charge. </w:t>
      </w:r>
    </w:p>
    <w:p w14:paraId="79C20231" w14:textId="217BD86D" w:rsidR="00686DA8" w:rsidRPr="009C78AE" w:rsidRDefault="00686DA8" w:rsidP="009C78AE">
      <w:pPr>
        <w:pStyle w:val="Heading2"/>
      </w:pPr>
      <w:r w:rsidRPr="009C78AE">
        <w:t>Each invoice shall be</w:t>
      </w:r>
      <w:r w:rsidR="003D6250" w:rsidRPr="009C78AE">
        <w:t xml:space="preserve"> uniquely identified and specified</w:t>
      </w:r>
      <w:r w:rsidRPr="009C78AE">
        <w:t xml:space="preserve"> as a minimum (but not limited to) the following information:</w:t>
      </w:r>
    </w:p>
    <w:p w14:paraId="22DB100F" w14:textId="40AB109F" w:rsidR="00686DA8" w:rsidRPr="007A29B8" w:rsidRDefault="00686DA8" w:rsidP="007A29B8">
      <w:pPr>
        <w:pStyle w:val="ListParagraph"/>
      </w:pPr>
      <w:r w:rsidRPr="007A29B8">
        <w:t>Order number (where relevant)</w:t>
      </w:r>
    </w:p>
    <w:p w14:paraId="4903C579" w14:textId="342BD0F2" w:rsidR="00686DA8" w:rsidRPr="007A29B8" w:rsidRDefault="00686DA8" w:rsidP="007A29B8">
      <w:pPr>
        <w:pStyle w:val="ListParagraph"/>
      </w:pPr>
      <w:r w:rsidRPr="007A29B8">
        <w:t>Framework Agreement title &amp; reference number</w:t>
      </w:r>
    </w:p>
    <w:p w14:paraId="30BB8B60" w14:textId="5494FB83" w:rsidR="00686DA8" w:rsidRPr="007A29B8" w:rsidRDefault="00686DA8" w:rsidP="007A29B8">
      <w:pPr>
        <w:pStyle w:val="ListParagraph"/>
      </w:pPr>
      <w:r w:rsidRPr="007A29B8">
        <w:t>Deliverable details (Description of Goods and/or Services)</w:t>
      </w:r>
    </w:p>
    <w:p w14:paraId="25DEA23E" w14:textId="4FB458A7" w:rsidR="00686DA8" w:rsidRPr="007A29B8" w:rsidRDefault="00686DA8" w:rsidP="007A29B8">
      <w:pPr>
        <w:pStyle w:val="ListParagraph"/>
      </w:pPr>
      <w:r w:rsidRPr="007A29B8">
        <w:t>Charges and total due including a deduction for any applicable discounts</w:t>
      </w:r>
    </w:p>
    <w:p w14:paraId="6902D91F" w14:textId="5FC5BBA3" w:rsidR="00686DA8" w:rsidRPr="007A29B8" w:rsidRDefault="00686DA8" w:rsidP="007A29B8">
      <w:pPr>
        <w:pStyle w:val="ListParagraph"/>
      </w:pPr>
      <w:r w:rsidRPr="007A29B8">
        <w:t>Any travel and subsistence expenses claimed (where pre agreed)</w:t>
      </w:r>
    </w:p>
    <w:p w14:paraId="2D5067BC" w14:textId="040D017A" w:rsidR="00686DA8" w:rsidRPr="007A29B8" w:rsidRDefault="00686DA8" w:rsidP="007A29B8">
      <w:pPr>
        <w:pStyle w:val="ListParagraph"/>
      </w:pPr>
      <w:r w:rsidRPr="007A29B8">
        <w:t>Total value excluding VAT</w:t>
      </w:r>
    </w:p>
    <w:p w14:paraId="557426A4" w14:textId="44102444" w:rsidR="00686DA8" w:rsidRPr="007A29B8" w:rsidRDefault="00686DA8" w:rsidP="007A29B8">
      <w:pPr>
        <w:pStyle w:val="ListParagraph"/>
      </w:pPr>
      <w:r w:rsidRPr="007A29B8">
        <w:t>Any day rates/hourly rates (if applicable)</w:t>
      </w:r>
    </w:p>
    <w:p w14:paraId="6C8315A9" w14:textId="11E320D6" w:rsidR="00022646" w:rsidRPr="00E62956" w:rsidRDefault="00022646" w:rsidP="00022646">
      <w:pPr>
        <w:pStyle w:val="Heading2"/>
        <w:rPr>
          <w:b/>
        </w:rPr>
      </w:pPr>
      <w:r w:rsidRPr="00E62956">
        <w:rPr>
          <w:b/>
        </w:rPr>
        <w:t>Service level and service credit and fault reporting</w:t>
      </w:r>
    </w:p>
    <w:p w14:paraId="7BE2F20C" w14:textId="7372799A" w:rsidR="00022646" w:rsidRDefault="00022646" w:rsidP="009C78AE">
      <w:pPr>
        <w:pStyle w:val="Heading2"/>
      </w:pPr>
      <w:r>
        <w:t>No later than ten (10) Business Days after the end of each Service Reporting Period ending during the Service Term the Contractor shall prepare and deliver to the Purchaser a report setting out</w:t>
      </w:r>
      <w:r w:rsidR="00290030">
        <w:t>:</w:t>
      </w:r>
      <w:r>
        <w:t xml:space="preserve"> </w:t>
      </w:r>
    </w:p>
    <w:p w14:paraId="4C6CA7BA" w14:textId="57BE1548" w:rsidR="00022646" w:rsidRDefault="00022646" w:rsidP="00E62956">
      <w:pPr>
        <w:pStyle w:val="ListParagraph"/>
      </w:pPr>
      <w:r>
        <w:t xml:space="preserve">details of compliance with the Service Levels in that Service Reporting Period (including details of the reason for any non-compliance); </w:t>
      </w:r>
    </w:p>
    <w:p w14:paraId="7F6B5DAA" w14:textId="5C1AEB49" w:rsidR="00022646" w:rsidRDefault="00022646" w:rsidP="00E62956">
      <w:pPr>
        <w:pStyle w:val="ListParagraph"/>
      </w:pPr>
      <w:r>
        <w:t>a calculation of the Service Credits accruing in that Service Reporting Period; and</w:t>
      </w:r>
    </w:p>
    <w:p w14:paraId="54F52D74" w14:textId="424A8CC2" w:rsidR="00022646" w:rsidRDefault="00022646" w:rsidP="00E62956">
      <w:pPr>
        <w:pStyle w:val="ListParagraph"/>
      </w:pPr>
      <w:r>
        <w:t>details of all Faults reported to the Contractor during that Service Reporting Period; and</w:t>
      </w:r>
    </w:p>
    <w:p w14:paraId="3F6F0767" w14:textId="77777777" w:rsidR="00022646" w:rsidRDefault="00022646" w:rsidP="00022646">
      <w:r>
        <w:t>To be clear such report may be written or may be delivered by email or through a browser portal or similar.</w:t>
      </w:r>
    </w:p>
    <w:p w14:paraId="217BD037" w14:textId="166F20A1" w:rsidR="00022646" w:rsidRPr="00E62956" w:rsidRDefault="00022646" w:rsidP="00E62956">
      <w:pPr>
        <w:pStyle w:val="Heading2"/>
        <w:rPr>
          <w:b/>
        </w:rPr>
      </w:pPr>
      <w:r w:rsidRPr="00E62956">
        <w:rPr>
          <w:b/>
        </w:rPr>
        <w:t>Payment of service credits</w:t>
      </w:r>
    </w:p>
    <w:p w14:paraId="3C9D74C7" w14:textId="10C8B89F" w:rsidR="00E62956" w:rsidRDefault="00022646" w:rsidP="00022646">
      <w:r>
        <w:t>Sums payable shall become due thirty (30) days after the issue of the rele</w:t>
      </w:r>
      <w:r w:rsidR="00290030">
        <w:t>vant Service Level Report</w:t>
      </w:r>
      <w:r>
        <w:t>.  All sum</w:t>
      </w:r>
      <w:r w:rsidR="00290030">
        <w:t xml:space="preserve">s falling due </w:t>
      </w:r>
      <w:r>
        <w:t>that have not previously been set-off against an in</w:t>
      </w:r>
      <w:r w:rsidR="00290030">
        <w:t xml:space="preserve">voice raised by the Contractor </w:t>
      </w:r>
      <w:r>
        <w:t>unde</w:t>
      </w:r>
      <w:r w:rsidR="00290030">
        <w:t>r this Contract (</w:t>
      </w:r>
      <w:r>
        <w:t>the "Un</w:t>
      </w:r>
      <w:r w:rsidR="00E62956">
        <w:t>-</w:t>
      </w:r>
      <w:r>
        <w:t>recouped Service Credits") shall be set off against and shown as a deduction of the amount payable (before calculation of Value Added Tax) in the next invoice raised by the Contractor under this Contract (provided that the amount due under that invoice as a result of the deduction of Un</w:t>
      </w:r>
      <w:r w:rsidR="00E62956">
        <w:t>-</w:t>
      </w:r>
      <w:r>
        <w:t xml:space="preserve">recouped Service Credits shall not be less than zero).  </w:t>
      </w:r>
    </w:p>
    <w:p w14:paraId="24932EDD" w14:textId="118BF9A0" w:rsidR="0003243A" w:rsidRDefault="00022646" w:rsidP="00022646">
      <w:r>
        <w:t>After the date of termination or expiry of this Contract Purchaser may invoice the Contractor for an amount equal to any the then current Un</w:t>
      </w:r>
      <w:r w:rsidR="00E62956">
        <w:t>-</w:t>
      </w:r>
      <w:r>
        <w:t>recouped Service Credits plus VAT (if applicable).  The Contractor will pay that invoice in cleared funds no later than thirty (30) days after its receipt of it (such date being the relevant due date for payment for the purpose of Clause 2 (Late Payment) of Section D (Goods and Services).</w:t>
      </w:r>
      <w:r w:rsidR="0003243A">
        <w:br w:type="page"/>
      </w:r>
    </w:p>
    <w:p w14:paraId="3D79A821" w14:textId="77777777" w:rsidR="008E77B8" w:rsidRPr="008E77B8" w:rsidRDefault="008E77B8" w:rsidP="008E77B8">
      <w:pPr>
        <w:rPr>
          <w:b/>
          <w:sz w:val="24"/>
          <w:szCs w:val="24"/>
          <w:u w:val="single"/>
        </w:rPr>
      </w:pPr>
      <w:r w:rsidRPr="008E77B8">
        <w:rPr>
          <w:b/>
          <w:sz w:val="24"/>
          <w:szCs w:val="24"/>
          <w:u w:val="single"/>
        </w:rPr>
        <w:t xml:space="preserve">SECTION 2 - SPECIFICATION OF REQUIREMENTS   </w:t>
      </w:r>
    </w:p>
    <w:p w14:paraId="7F33DDA4" w14:textId="77777777" w:rsidR="008E77B8" w:rsidRPr="008E77B8" w:rsidRDefault="008E77B8" w:rsidP="008E77B8">
      <w:pPr>
        <w:rPr>
          <w:szCs w:val="22"/>
        </w:rPr>
      </w:pPr>
    </w:p>
    <w:p w14:paraId="03CACCC0" w14:textId="77777777" w:rsidR="008E77B8" w:rsidRPr="008E77B8" w:rsidRDefault="008E77B8" w:rsidP="008E77B8">
      <w:pPr>
        <w:rPr>
          <w:rFonts w:eastAsia="MS Gothic"/>
          <w:b/>
          <w:lang w:eastAsia="en-US"/>
        </w:rPr>
      </w:pPr>
      <w:r w:rsidRPr="008E77B8">
        <w:rPr>
          <w:rFonts w:eastAsia="MS Gothic"/>
          <w:b/>
          <w:lang w:eastAsia="en-US"/>
        </w:rPr>
        <w:t>Specification of Requirements - Table of Contents</w:t>
      </w:r>
    </w:p>
    <w:tbl>
      <w:tblPr>
        <w:tblStyle w:val="TableGrid11"/>
        <w:tblpPr w:leftFromText="180" w:rightFromText="180" w:vertAnchor="page" w:horzAnchor="margin" w:tblpY="2761"/>
        <w:tblW w:w="9209" w:type="dxa"/>
        <w:tblLook w:val="04A0" w:firstRow="1" w:lastRow="0" w:firstColumn="1" w:lastColumn="0" w:noHBand="0" w:noVBand="1"/>
      </w:tblPr>
      <w:tblGrid>
        <w:gridCol w:w="1413"/>
        <w:gridCol w:w="7796"/>
      </w:tblGrid>
      <w:tr w:rsidR="008E77B8" w:rsidRPr="008E77B8" w14:paraId="6AF32A01" w14:textId="77777777" w:rsidTr="008E77B8">
        <w:tc>
          <w:tcPr>
            <w:tcW w:w="1413" w:type="dxa"/>
          </w:tcPr>
          <w:p w14:paraId="161D9215" w14:textId="77777777" w:rsidR="008E77B8" w:rsidRPr="008E77B8" w:rsidRDefault="008E77B8" w:rsidP="008E77B8">
            <w:pPr>
              <w:spacing w:before="120" w:after="120" w:line="276" w:lineRule="auto"/>
              <w:jc w:val="center"/>
              <w:rPr>
                <w:b/>
                <w:szCs w:val="20"/>
                <w:lang w:eastAsia="en-GB"/>
              </w:rPr>
            </w:pPr>
            <w:r w:rsidRPr="008E77B8">
              <w:rPr>
                <w:b/>
                <w:szCs w:val="20"/>
                <w:lang w:eastAsia="en-GB"/>
              </w:rPr>
              <w:t>Sub-Section</w:t>
            </w:r>
          </w:p>
        </w:tc>
        <w:tc>
          <w:tcPr>
            <w:tcW w:w="7796" w:type="dxa"/>
          </w:tcPr>
          <w:p w14:paraId="0779E92D" w14:textId="77777777" w:rsidR="008E77B8" w:rsidRPr="008E77B8" w:rsidRDefault="008E77B8" w:rsidP="008E77B8">
            <w:pPr>
              <w:spacing w:before="120" w:after="120" w:line="276" w:lineRule="auto"/>
              <w:jc w:val="center"/>
              <w:rPr>
                <w:b/>
                <w:szCs w:val="20"/>
                <w:lang w:eastAsia="en-GB"/>
              </w:rPr>
            </w:pPr>
            <w:r w:rsidRPr="008E77B8">
              <w:rPr>
                <w:b/>
                <w:szCs w:val="20"/>
                <w:lang w:eastAsia="en-GB"/>
              </w:rPr>
              <w:t>Contents</w:t>
            </w:r>
          </w:p>
        </w:tc>
      </w:tr>
      <w:tr w:rsidR="008E77B8" w:rsidRPr="008E77B8" w14:paraId="5700795F" w14:textId="77777777" w:rsidTr="008E77B8">
        <w:tc>
          <w:tcPr>
            <w:tcW w:w="1413" w:type="dxa"/>
          </w:tcPr>
          <w:p w14:paraId="0D9F4D38" w14:textId="77777777" w:rsidR="008E77B8" w:rsidRPr="008E77B8" w:rsidRDefault="008E77B8" w:rsidP="008E77B8">
            <w:pPr>
              <w:spacing w:before="120" w:after="120" w:line="720" w:lineRule="auto"/>
              <w:jc w:val="center"/>
              <w:rPr>
                <w:szCs w:val="20"/>
                <w:lang w:eastAsia="en-GB"/>
              </w:rPr>
            </w:pPr>
            <w:r w:rsidRPr="008E77B8">
              <w:rPr>
                <w:szCs w:val="20"/>
                <w:lang w:eastAsia="en-GB"/>
              </w:rPr>
              <w:t>1-3</w:t>
            </w:r>
          </w:p>
        </w:tc>
        <w:tc>
          <w:tcPr>
            <w:tcW w:w="7796" w:type="dxa"/>
          </w:tcPr>
          <w:p w14:paraId="336223B4" w14:textId="4F0DF2FC" w:rsidR="008E77B8" w:rsidRPr="008E77B8" w:rsidRDefault="001C0F4C" w:rsidP="008E77B8">
            <w:pPr>
              <w:spacing w:before="120" w:after="120" w:line="720" w:lineRule="auto"/>
              <w:jc w:val="both"/>
              <w:rPr>
                <w:szCs w:val="20"/>
                <w:lang w:eastAsia="en-GB"/>
              </w:rPr>
            </w:pPr>
            <w:hyperlink w:anchor="_Background" w:history="1">
              <w:r w:rsidR="008E77B8" w:rsidRPr="00013214">
                <w:rPr>
                  <w:rStyle w:val="Hyperlink"/>
                  <w:szCs w:val="20"/>
                  <w:lang w:eastAsia="en-GB"/>
                </w:rPr>
                <w:t>Background and Scope</w:t>
              </w:r>
            </w:hyperlink>
          </w:p>
        </w:tc>
      </w:tr>
      <w:tr w:rsidR="008E77B8" w:rsidRPr="008E77B8" w14:paraId="41BC8921" w14:textId="77777777" w:rsidTr="008E77B8">
        <w:tc>
          <w:tcPr>
            <w:tcW w:w="1413" w:type="dxa"/>
          </w:tcPr>
          <w:p w14:paraId="483D0834" w14:textId="77777777" w:rsidR="008E77B8" w:rsidRPr="008E77B8" w:rsidRDefault="008E77B8" w:rsidP="008E77B8">
            <w:pPr>
              <w:spacing w:before="120" w:after="120" w:line="720" w:lineRule="auto"/>
              <w:jc w:val="center"/>
              <w:rPr>
                <w:szCs w:val="20"/>
                <w:lang w:eastAsia="en-GB"/>
              </w:rPr>
            </w:pPr>
            <w:r w:rsidRPr="008E77B8">
              <w:rPr>
                <w:szCs w:val="20"/>
                <w:lang w:eastAsia="en-GB"/>
              </w:rPr>
              <w:t>4</w:t>
            </w:r>
          </w:p>
        </w:tc>
        <w:tc>
          <w:tcPr>
            <w:tcW w:w="7796" w:type="dxa"/>
          </w:tcPr>
          <w:p w14:paraId="687092CC" w14:textId="4B033DB4" w:rsidR="008E77B8" w:rsidRPr="008E77B8" w:rsidRDefault="001C0F4C" w:rsidP="00947D2C">
            <w:pPr>
              <w:spacing w:before="120" w:after="120" w:line="720" w:lineRule="auto"/>
              <w:jc w:val="both"/>
              <w:rPr>
                <w:szCs w:val="20"/>
                <w:lang w:eastAsia="en-GB"/>
              </w:rPr>
            </w:pPr>
            <w:hyperlink w:anchor="_Design" w:history="1">
              <w:r w:rsidR="008E77B8" w:rsidRPr="00947D2C">
                <w:rPr>
                  <w:rStyle w:val="Hyperlink"/>
                  <w:szCs w:val="20"/>
                  <w:lang w:eastAsia="en-GB"/>
                </w:rPr>
                <w:t>Design</w:t>
              </w:r>
            </w:hyperlink>
            <w:r w:rsidR="008E77B8" w:rsidRPr="00947D2C">
              <w:rPr>
                <w:szCs w:val="20"/>
                <w:lang w:eastAsia="en-GB"/>
              </w:rPr>
              <w:t xml:space="preserve"> </w:t>
            </w:r>
          </w:p>
        </w:tc>
      </w:tr>
      <w:tr w:rsidR="008E77B8" w:rsidRPr="008E77B8" w14:paraId="429A9554" w14:textId="77777777" w:rsidTr="008E77B8">
        <w:tc>
          <w:tcPr>
            <w:tcW w:w="1413" w:type="dxa"/>
          </w:tcPr>
          <w:p w14:paraId="78E59BD7" w14:textId="77777777" w:rsidR="008E77B8" w:rsidRPr="008E77B8" w:rsidRDefault="008E77B8" w:rsidP="008E77B8">
            <w:pPr>
              <w:spacing w:before="120" w:after="120" w:line="720" w:lineRule="auto"/>
              <w:jc w:val="center"/>
              <w:rPr>
                <w:szCs w:val="20"/>
                <w:lang w:eastAsia="en-GB"/>
              </w:rPr>
            </w:pPr>
            <w:r w:rsidRPr="008E77B8">
              <w:rPr>
                <w:szCs w:val="20"/>
                <w:lang w:eastAsia="en-GB"/>
              </w:rPr>
              <w:t>5</w:t>
            </w:r>
          </w:p>
        </w:tc>
        <w:tc>
          <w:tcPr>
            <w:tcW w:w="7796" w:type="dxa"/>
          </w:tcPr>
          <w:p w14:paraId="1B9873AE" w14:textId="35C963D4" w:rsidR="008E77B8" w:rsidRPr="008E77B8" w:rsidRDefault="001C0F4C" w:rsidP="008E77B8">
            <w:pPr>
              <w:spacing w:before="120" w:after="120" w:line="720" w:lineRule="auto"/>
              <w:jc w:val="both"/>
              <w:rPr>
                <w:szCs w:val="20"/>
                <w:lang w:eastAsia="en-GB"/>
              </w:rPr>
            </w:pPr>
            <w:hyperlink w:anchor="_Pedagogical_Functionality" w:history="1">
              <w:r w:rsidR="008E77B8" w:rsidRPr="00947D2C">
                <w:rPr>
                  <w:rStyle w:val="Hyperlink"/>
                  <w:szCs w:val="20"/>
                  <w:lang w:eastAsia="en-GB"/>
                </w:rPr>
                <w:t>Pedagogical Functionality</w:t>
              </w:r>
            </w:hyperlink>
          </w:p>
        </w:tc>
      </w:tr>
      <w:tr w:rsidR="008E77B8" w:rsidRPr="008E77B8" w14:paraId="3A5B74B8" w14:textId="77777777" w:rsidTr="008E77B8">
        <w:tc>
          <w:tcPr>
            <w:tcW w:w="1413" w:type="dxa"/>
          </w:tcPr>
          <w:p w14:paraId="3F5F9D6B" w14:textId="77777777" w:rsidR="008E77B8" w:rsidRPr="008E77B8" w:rsidRDefault="008E77B8" w:rsidP="008E77B8">
            <w:pPr>
              <w:spacing w:before="120" w:after="120" w:line="720" w:lineRule="auto"/>
              <w:jc w:val="center"/>
              <w:rPr>
                <w:szCs w:val="20"/>
                <w:lang w:eastAsia="en-GB"/>
              </w:rPr>
            </w:pPr>
            <w:r w:rsidRPr="008E77B8">
              <w:rPr>
                <w:szCs w:val="20"/>
                <w:lang w:eastAsia="en-GB"/>
              </w:rPr>
              <w:t>6</w:t>
            </w:r>
          </w:p>
        </w:tc>
        <w:tc>
          <w:tcPr>
            <w:tcW w:w="7796" w:type="dxa"/>
          </w:tcPr>
          <w:p w14:paraId="5226ECE8" w14:textId="41B256A3" w:rsidR="008E77B8" w:rsidRPr="008E77B8" w:rsidRDefault="001C0F4C" w:rsidP="008E77B8">
            <w:pPr>
              <w:spacing w:before="120" w:after="120" w:line="720" w:lineRule="auto"/>
              <w:jc w:val="both"/>
              <w:rPr>
                <w:szCs w:val="20"/>
                <w:lang w:eastAsia="en-GB"/>
              </w:rPr>
            </w:pPr>
            <w:hyperlink w:anchor="_Integration_and_Extension" w:history="1">
              <w:r w:rsidR="00947D2C">
                <w:rPr>
                  <w:rStyle w:val="Hyperlink"/>
                  <w:szCs w:val="20"/>
                  <w:lang w:eastAsia="en-GB"/>
                </w:rPr>
                <w:t xml:space="preserve">Integration and </w:t>
              </w:r>
              <w:r w:rsidR="008E77B8" w:rsidRPr="00947D2C">
                <w:rPr>
                  <w:rStyle w:val="Hyperlink"/>
                  <w:szCs w:val="20"/>
                  <w:lang w:eastAsia="en-GB"/>
                </w:rPr>
                <w:t>Extension Capabilities</w:t>
              </w:r>
            </w:hyperlink>
          </w:p>
        </w:tc>
      </w:tr>
      <w:tr w:rsidR="008E77B8" w:rsidRPr="008E77B8" w14:paraId="26BE6E31" w14:textId="77777777" w:rsidTr="008E77B8">
        <w:tc>
          <w:tcPr>
            <w:tcW w:w="1413" w:type="dxa"/>
          </w:tcPr>
          <w:p w14:paraId="61999B05" w14:textId="77777777" w:rsidR="008E77B8" w:rsidRPr="008E77B8" w:rsidRDefault="008E77B8" w:rsidP="008E77B8">
            <w:pPr>
              <w:spacing w:before="120" w:after="120" w:line="720" w:lineRule="auto"/>
              <w:jc w:val="center"/>
              <w:rPr>
                <w:szCs w:val="20"/>
                <w:lang w:eastAsia="en-GB"/>
              </w:rPr>
            </w:pPr>
            <w:r w:rsidRPr="008E77B8">
              <w:rPr>
                <w:szCs w:val="20"/>
                <w:lang w:eastAsia="en-GB"/>
              </w:rPr>
              <w:t>7</w:t>
            </w:r>
          </w:p>
        </w:tc>
        <w:tc>
          <w:tcPr>
            <w:tcW w:w="7796" w:type="dxa"/>
          </w:tcPr>
          <w:p w14:paraId="5CDD0966" w14:textId="4D9395C6" w:rsidR="008E77B8" w:rsidRPr="008E77B8" w:rsidRDefault="001C0F4C" w:rsidP="008E77B8">
            <w:pPr>
              <w:spacing w:before="120" w:after="120" w:line="720" w:lineRule="auto"/>
              <w:jc w:val="both"/>
              <w:rPr>
                <w:szCs w:val="20"/>
                <w:lang w:eastAsia="en-GB"/>
              </w:rPr>
            </w:pPr>
            <w:hyperlink w:anchor="_Enterprise_Reporting_and" w:history="1">
              <w:r w:rsidR="00947D2C" w:rsidRPr="00947D2C">
                <w:rPr>
                  <w:rStyle w:val="Hyperlink"/>
                  <w:szCs w:val="20"/>
                  <w:lang w:eastAsia="en-GB"/>
                </w:rPr>
                <w:t xml:space="preserve">Enterprise </w:t>
              </w:r>
              <w:r w:rsidR="008E77B8" w:rsidRPr="00947D2C">
                <w:rPr>
                  <w:rStyle w:val="Hyperlink"/>
                  <w:szCs w:val="20"/>
                  <w:lang w:eastAsia="en-GB"/>
                </w:rPr>
                <w:t>Repor</w:t>
              </w:r>
              <w:r w:rsidR="00947D2C">
                <w:rPr>
                  <w:rStyle w:val="Hyperlink"/>
                  <w:szCs w:val="20"/>
                  <w:lang w:eastAsia="en-GB"/>
                </w:rPr>
                <w:t>ting and Access to Institution</w:t>
              </w:r>
              <w:r w:rsidR="008E77B8" w:rsidRPr="00947D2C">
                <w:rPr>
                  <w:rStyle w:val="Hyperlink"/>
                  <w:szCs w:val="20"/>
                  <w:lang w:eastAsia="en-GB"/>
                </w:rPr>
                <w:t xml:space="preserve"> Data</w:t>
              </w:r>
            </w:hyperlink>
          </w:p>
        </w:tc>
      </w:tr>
      <w:tr w:rsidR="008E77B8" w:rsidRPr="008E77B8" w14:paraId="4BD97C2E" w14:textId="77777777" w:rsidTr="008E77B8">
        <w:tc>
          <w:tcPr>
            <w:tcW w:w="1413" w:type="dxa"/>
          </w:tcPr>
          <w:p w14:paraId="729602FF" w14:textId="77777777" w:rsidR="008E77B8" w:rsidRPr="008E77B8" w:rsidRDefault="008E77B8" w:rsidP="008E77B8">
            <w:pPr>
              <w:spacing w:before="120" w:after="120" w:line="720" w:lineRule="auto"/>
              <w:jc w:val="center"/>
              <w:rPr>
                <w:szCs w:val="20"/>
                <w:lang w:eastAsia="en-GB"/>
              </w:rPr>
            </w:pPr>
            <w:r w:rsidRPr="008E77B8">
              <w:rPr>
                <w:szCs w:val="20"/>
                <w:lang w:eastAsia="en-GB"/>
              </w:rPr>
              <w:t>8</w:t>
            </w:r>
          </w:p>
        </w:tc>
        <w:tc>
          <w:tcPr>
            <w:tcW w:w="7796" w:type="dxa"/>
          </w:tcPr>
          <w:p w14:paraId="7FFDEF7D" w14:textId="409B42F9" w:rsidR="008E77B8" w:rsidRPr="008E77B8" w:rsidRDefault="001C0F4C" w:rsidP="008E77B8">
            <w:pPr>
              <w:spacing w:before="120" w:after="120" w:line="720" w:lineRule="auto"/>
              <w:jc w:val="both"/>
              <w:rPr>
                <w:szCs w:val="20"/>
                <w:lang w:eastAsia="en-GB"/>
              </w:rPr>
            </w:pPr>
            <w:hyperlink w:anchor="_General_Operating_Environment" w:history="1">
              <w:r w:rsidR="008E77B8" w:rsidRPr="00947D2C">
                <w:rPr>
                  <w:rStyle w:val="Hyperlink"/>
                  <w:szCs w:val="20"/>
                  <w:lang w:eastAsia="en-GB"/>
                </w:rPr>
                <w:t>General Operating Environment</w:t>
              </w:r>
            </w:hyperlink>
            <w:r w:rsidR="008E77B8" w:rsidRPr="008E77B8">
              <w:rPr>
                <w:szCs w:val="20"/>
                <w:lang w:eastAsia="en-GB"/>
              </w:rPr>
              <w:t xml:space="preserve"> </w:t>
            </w:r>
          </w:p>
        </w:tc>
      </w:tr>
      <w:tr w:rsidR="008E77B8" w:rsidRPr="008E77B8" w14:paraId="733004AD" w14:textId="77777777" w:rsidTr="008E77B8">
        <w:tc>
          <w:tcPr>
            <w:tcW w:w="1413" w:type="dxa"/>
          </w:tcPr>
          <w:p w14:paraId="717DCE98" w14:textId="77777777" w:rsidR="008E77B8" w:rsidRPr="008E77B8" w:rsidRDefault="008E77B8" w:rsidP="008E77B8">
            <w:pPr>
              <w:spacing w:before="120" w:after="120" w:line="720" w:lineRule="auto"/>
              <w:jc w:val="center"/>
              <w:rPr>
                <w:szCs w:val="20"/>
                <w:lang w:eastAsia="en-GB"/>
              </w:rPr>
            </w:pPr>
            <w:r w:rsidRPr="008E77B8">
              <w:rPr>
                <w:szCs w:val="20"/>
                <w:lang w:eastAsia="en-GB"/>
              </w:rPr>
              <w:t>9</w:t>
            </w:r>
          </w:p>
        </w:tc>
        <w:tc>
          <w:tcPr>
            <w:tcW w:w="7796" w:type="dxa"/>
          </w:tcPr>
          <w:p w14:paraId="026B8DEA" w14:textId="35D04A7F" w:rsidR="008E77B8" w:rsidRPr="008E77B8" w:rsidRDefault="001C0F4C" w:rsidP="00947D2C">
            <w:pPr>
              <w:spacing w:before="120" w:after="120" w:line="720" w:lineRule="auto"/>
              <w:jc w:val="both"/>
              <w:rPr>
                <w:szCs w:val="20"/>
                <w:lang w:eastAsia="en-GB"/>
              </w:rPr>
            </w:pPr>
            <w:hyperlink w:anchor="_Support,_Maintenance_and" w:history="1">
              <w:r w:rsidR="008E77B8" w:rsidRPr="00947D2C">
                <w:rPr>
                  <w:rStyle w:val="Hyperlink"/>
                  <w:szCs w:val="20"/>
                  <w:lang w:eastAsia="en-GB"/>
                </w:rPr>
                <w:t>Support, Maintenance and Hosting</w:t>
              </w:r>
            </w:hyperlink>
          </w:p>
        </w:tc>
      </w:tr>
      <w:tr w:rsidR="008E77B8" w:rsidRPr="008E77B8" w14:paraId="116D7AA9" w14:textId="77777777" w:rsidTr="008E77B8">
        <w:tc>
          <w:tcPr>
            <w:tcW w:w="1413" w:type="dxa"/>
          </w:tcPr>
          <w:p w14:paraId="1430434F" w14:textId="77777777" w:rsidR="008E77B8" w:rsidRPr="008E77B8" w:rsidRDefault="008E77B8" w:rsidP="008E77B8">
            <w:pPr>
              <w:spacing w:before="120" w:after="120" w:line="720" w:lineRule="auto"/>
              <w:jc w:val="center"/>
              <w:rPr>
                <w:szCs w:val="20"/>
                <w:lang w:eastAsia="en-GB"/>
              </w:rPr>
            </w:pPr>
            <w:r w:rsidRPr="008E77B8">
              <w:rPr>
                <w:szCs w:val="20"/>
                <w:lang w:eastAsia="en-GB"/>
              </w:rPr>
              <w:t>10</w:t>
            </w:r>
          </w:p>
        </w:tc>
        <w:tc>
          <w:tcPr>
            <w:tcW w:w="7796" w:type="dxa"/>
          </w:tcPr>
          <w:p w14:paraId="1A92EBD1" w14:textId="296521B6" w:rsidR="008E77B8" w:rsidRPr="008E77B8" w:rsidRDefault="001C0F4C" w:rsidP="00947D2C">
            <w:pPr>
              <w:spacing w:before="120" w:after="120" w:line="720" w:lineRule="auto"/>
              <w:jc w:val="both"/>
              <w:rPr>
                <w:szCs w:val="20"/>
                <w:lang w:eastAsia="en-GB"/>
              </w:rPr>
            </w:pPr>
            <w:hyperlink w:anchor="_Data_Integrity,_Security" w:history="1">
              <w:r w:rsidR="00947D2C" w:rsidRPr="00947D2C">
                <w:rPr>
                  <w:rStyle w:val="Hyperlink"/>
                  <w:szCs w:val="20"/>
                  <w:lang w:eastAsia="en-GB"/>
                </w:rPr>
                <w:t xml:space="preserve">Data </w:t>
              </w:r>
              <w:r w:rsidR="00947D2C">
                <w:rPr>
                  <w:rStyle w:val="Hyperlink"/>
                  <w:szCs w:val="20"/>
                  <w:lang w:eastAsia="en-GB"/>
                </w:rPr>
                <w:t>Integrity, Security</w:t>
              </w:r>
              <w:r w:rsidR="008E77B8" w:rsidRPr="00947D2C">
                <w:rPr>
                  <w:rStyle w:val="Hyperlink"/>
                  <w:szCs w:val="20"/>
                  <w:lang w:eastAsia="en-GB"/>
                </w:rPr>
                <w:t xml:space="preserve"> and Systems Functionality</w:t>
              </w:r>
            </w:hyperlink>
          </w:p>
        </w:tc>
      </w:tr>
      <w:tr w:rsidR="008E77B8" w:rsidRPr="008E77B8" w14:paraId="0C2EB5D6" w14:textId="77777777" w:rsidTr="008E77B8">
        <w:tc>
          <w:tcPr>
            <w:tcW w:w="1413" w:type="dxa"/>
          </w:tcPr>
          <w:p w14:paraId="30074EAE" w14:textId="77777777" w:rsidR="008E77B8" w:rsidRPr="008E77B8" w:rsidRDefault="008E77B8" w:rsidP="008E77B8">
            <w:pPr>
              <w:spacing w:before="120" w:after="120" w:line="720" w:lineRule="auto"/>
              <w:jc w:val="center"/>
              <w:rPr>
                <w:szCs w:val="20"/>
                <w:lang w:eastAsia="en-GB"/>
              </w:rPr>
            </w:pPr>
            <w:r w:rsidRPr="008E77B8">
              <w:rPr>
                <w:szCs w:val="20"/>
                <w:lang w:eastAsia="en-GB"/>
              </w:rPr>
              <w:t>11</w:t>
            </w:r>
          </w:p>
        </w:tc>
        <w:tc>
          <w:tcPr>
            <w:tcW w:w="7796" w:type="dxa"/>
          </w:tcPr>
          <w:p w14:paraId="23624646" w14:textId="70CF805F" w:rsidR="008E77B8" w:rsidRPr="008E77B8" w:rsidRDefault="001C0F4C" w:rsidP="008E77B8">
            <w:pPr>
              <w:spacing w:before="120" w:after="120" w:line="720" w:lineRule="auto"/>
              <w:jc w:val="both"/>
              <w:rPr>
                <w:szCs w:val="20"/>
                <w:lang w:eastAsia="en-GB"/>
              </w:rPr>
            </w:pPr>
            <w:hyperlink w:anchor="_Account_Management" w:history="1">
              <w:r w:rsidR="008E77B8" w:rsidRPr="00947D2C">
                <w:rPr>
                  <w:rStyle w:val="Hyperlink"/>
                  <w:szCs w:val="20"/>
                  <w:lang w:eastAsia="en-GB"/>
                </w:rPr>
                <w:t>Account Management</w:t>
              </w:r>
            </w:hyperlink>
          </w:p>
        </w:tc>
      </w:tr>
      <w:tr w:rsidR="008E77B8" w:rsidRPr="008E77B8" w14:paraId="49AB7441" w14:textId="77777777" w:rsidTr="008E77B8">
        <w:tc>
          <w:tcPr>
            <w:tcW w:w="1413" w:type="dxa"/>
          </w:tcPr>
          <w:p w14:paraId="77029460" w14:textId="77777777" w:rsidR="008E77B8" w:rsidRPr="008E77B8" w:rsidRDefault="008E77B8" w:rsidP="008E77B8">
            <w:pPr>
              <w:spacing w:before="120" w:after="120" w:line="720" w:lineRule="auto"/>
              <w:jc w:val="center"/>
              <w:rPr>
                <w:szCs w:val="20"/>
                <w:lang w:eastAsia="en-GB"/>
              </w:rPr>
            </w:pPr>
            <w:r w:rsidRPr="008E77B8">
              <w:rPr>
                <w:szCs w:val="20"/>
                <w:lang w:eastAsia="en-GB"/>
              </w:rPr>
              <w:t>12</w:t>
            </w:r>
          </w:p>
        </w:tc>
        <w:tc>
          <w:tcPr>
            <w:tcW w:w="7796" w:type="dxa"/>
          </w:tcPr>
          <w:p w14:paraId="39032B93" w14:textId="1345DEC9" w:rsidR="008E77B8" w:rsidRPr="008E77B8" w:rsidRDefault="001C0F4C" w:rsidP="008E77B8">
            <w:pPr>
              <w:spacing w:before="120" w:after="120" w:line="720" w:lineRule="auto"/>
              <w:jc w:val="both"/>
              <w:rPr>
                <w:szCs w:val="20"/>
                <w:lang w:eastAsia="en-GB"/>
              </w:rPr>
            </w:pPr>
            <w:hyperlink w:anchor="_Contract_Management_and" w:history="1">
              <w:r w:rsidR="008E77B8" w:rsidRPr="00947D2C">
                <w:rPr>
                  <w:rStyle w:val="Hyperlink"/>
                  <w:szCs w:val="20"/>
                  <w:lang w:eastAsia="en-GB"/>
                </w:rPr>
                <w:t>Contract Management and Performance Measurement</w:t>
              </w:r>
            </w:hyperlink>
          </w:p>
        </w:tc>
      </w:tr>
    </w:tbl>
    <w:p w14:paraId="5197B0E3" w14:textId="77777777" w:rsidR="008E77B8" w:rsidRPr="008E77B8" w:rsidRDefault="008E77B8" w:rsidP="008E77B8">
      <w:pPr>
        <w:tabs>
          <w:tab w:val="left" w:pos="0"/>
          <w:tab w:val="left" w:pos="1034"/>
        </w:tabs>
        <w:ind w:hanging="1080"/>
        <w:rPr>
          <w:rFonts w:cs="Arial"/>
          <w:szCs w:val="22"/>
        </w:rPr>
      </w:pPr>
    </w:p>
    <w:p w14:paraId="4369D50C" w14:textId="77777777" w:rsidR="008E77B8" w:rsidRPr="008E77B8" w:rsidRDefault="008E77B8" w:rsidP="008E77B8">
      <w:pPr>
        <w:rPr>
          <w:rFonts w:cs="Arial"/>
          <w:szCs w:val="22"/>
        </w:rPr>
      </w:pPr>
      <w:r w:rsidRPr="008E77B8">
        <w:rPr>
          <w:rFonts w:cs="Arial"/>
          <w:szCs w:val="22"/>
        </w:rPr>
        <w:br w:type="page"/>
      </w:r>
    </w:p>
    <w:p w14:paraId="182A5847" w14:textId="77777777" w:rsidR="008E77B8" w:rsidRPr="008E77B8" w:rsidRDefault="008E77B8" w:rsidP="009C78AE">
      <w:pPr>
        <w:pStyle w:val="Heading1"/>
        <w:numPr>
          <w:ilvl w:val="0"/>
          <w:numId w:val="8"/>
        </w:numPr>
      </w:pPr>
      <w:bookmarkStart w:id="3" w:name="_Background"/>
      <w:bookmarkEnd w:id="3"/>
      <w:r w:rsidRPr="008E77B8">
        <w:t>Background</w:t>
      </w:r>
    </w:p>
    <w:p w14:paraId="2B896560" w14:textId="77777777" w:rsidR="008E77B8" w:rsidRPr="008E77B8" w:rsidRDefault="008E77B8" w:rsidP="008E77B8">
      <w:pPr>
        <w:pStyle w:val="Heading2"/>
      </w:pPr>
      <w:r w:rsidRPr="008E77B8">
        <w:t>The Authority is one of the five Centres of Procurement Expertise formed as a result of the McClelland Review of Public Procurement in Scotland, published in March 2006. The Authority was formed in 2007 and is owned by Scotland’s universities and colleges and operates entirely in the interests of these Institutional stakeholders. The Authority conducts procurement processes on their behalf for the collaborative commodities for which it is responsible, and enters into Framework Agreements with Contractors.</w:t>
      </w:r>
    </w:p>
    <w:p w14:paraId="5102D596" w14:textId="77777777" w:rsidR="008E77B8" w:rsidRPr="008E77B8" w:rsidRDefault="008E77B8" w:rsidP="008E77B8">
      <w:pPr>
        <w:pStyle w:val="Heading2"/>
      </w:pPr>
      <w:r w:rsidRPr="008E77B8">
        <w:t>Agreements are created on a collaborative basis with user input from Institutions and designed to suit their specifications. Contractors are asked to note that there is no guarantee of demand or even any business for Contractors on the Framework Agreement.</w:t>
      </w:r>
    </w:p>
    <w:p w14:paraId="74C8C0CB" w14:textId="77777777" w:rsidR="008E77B8" w:rsidRPr="008E77B8" w:rsidRDefault="008E77B8" w:rsidP="008E77B8">
      <w:pPr>
        <w:pStyle w:val="Heading2"/>
      </w:pPr>
      <w:r w:rsidRPr="008E77B8">
        <w:t>The Authority Terms and Conditions as referenced in this document shall prevail for the period of the Framework Agreement and apply to call-off contracts. The Terms and Conditions are standard and any proposed changes will only be accepted at the discretion of the Authority.</w:t>
      </w:r>
    </w:p>
    <w:p w14:paraId="54991BC3" w14:textId="77777777" w:rsidR="008E77B8" w:rsidRPr="008E77B8" w:rsidRDefault="008E77B8" w:rsidP="008E77B8">
      <w:pPr>
        <w:pStyle w:val="Heading2"/>
      </w:pPr>
      <w:r w:rsidRPr="008E77B8">
        <w:t xml:space="preserve">The VLE Systems and Services purchased by parties accessing this Framework Agreement will vary in scale and complexity. In undertaking this Invitation to Tender, the Authority aim to achieve enhancements in: functionality, System performance, service levels, and commercial terms.  The tender is being undertaken against an ongoing background of public sector austerity and pressure on HE/FE Institutions for continuous improvement in the overall quality of educational service provision.  </w:t>
      </w:r>
    </w:p>
    <w:p w14:paraId="10CAF6F6" w14:textId="77777777" w:rsidR="008E77B8" w:rsidRPr="008E77B8" w:rsidRDefault="008E77B8" w:rsidP="008E77B8">
      <w:pPr>
        <w:pStyle w:val="Heading2"/>
      </w:pPr>
      <w:r w:rsidRPr="008E77B8">
        <w:t>High level objectives include:</w:t>
      </w:r>
    </w:p>
    <w:p w14:paraId="5570FD27" w14:textId="77777777" w:rsidR="008E77B8" w:rsidRPr="008E77B8" w:rsidRDefault="008E77B8" w:rsidP="007A29B8">
      <w:pPr>
        <w:pStyle w:val="ListParagraph"/>
      </w:pPr>
      <w:r w:rsidRPr="008E77B8">
        <w:t>Value added functionality and service delivery;</w:t>
      </w:r>
    </w:p>
    <w:p w14:paraId="6AACAD70" w14:textId="77777777" w:rsidR="008E77B8" w:rsidRPr="008E77B8" w:rsidRDefault="008E77B8" w:rsidP="007A29B8">
      <w:pPr>
        <w:pStyle w:val="ListParagraph"/>
      </w:pPr>
      <w:r w:rsidRPr="008E77B8">
        <w:t>Improved commercial terms and consistency across the Scottish sector;</w:t>
      </w:r>
    </w:p>
    <w:p w14:paraId="7D868D95" w14:textId="6E4BB5C9" w:rsidR="008E77B8" w:rsidRPr="008E77B8" w:rsidRDefault="008E77B8" w:rsidP="007A29B8">
      <w:pPr>
        <w:pStyle w:val="ListParagraph"/>
      </w:pPr>
      <w:r w:rsidRPr="008E77B8">
        <w:t>Supplier commitment to regular benchmarking and passing on the benefits of market innovation to Institutions;</w:t>
      </w:r>
      <w:r w:rsidRPr="008E77B8">
        <w:tab/>
      </w:r>
    </w:p>
    <w:p w14:paraId="2DF27C8C" w14:textId="77777777" w:rsidR="008E77B8" w:rsidRPr="008E77B8" w:rsidRDefault="008E77B8" w:rsidP="007A29B8">
      <w:pPr>
        <w:pStyle w:val="ListParagraph"/>
      </w:pPr>
      <w:r w:rsidRPr="008E77B8">
        <w:t>A strong working relationship between Institutions and the appointed Contractors.</w:t>
      </w:r>
    </w:p>
    <w:p w14:paraId="4AA0E498" w14:textId="77777777" w:rsidR="008E77B8" w:rsidRDefault="008E77B8" w:rsidP="008E77B8">
      <w:pPr>
        <w:pStyle w:val="Heading2"/>
      </w:pPr>
      <w:r w:rsidRPr="008E77B8">
        <w:t xml:space="preserve">A User Intelligence Group (UIG) has been established to provide key stakeholder input and represent the view of participating Institutions on this requirement. Members consist of both learning technology specialists and ICT specialists from the Authority, the Higher Education (HE) sector and the Further Education (FE) sector. </w:t>
      </w:r>
    </w:p>
    <w:p w14:paraId="196E7DFA" w14:textId="77777777" w:rsidR="008E77B8" w:rsidRPr="008E77B8" w:rsidRDefault="008E77B8" w:rsidP="008E77B8">
      <w:pPr>
        <w:pStyle w:val="Heading1"/>
      </w:pPr>
      <w:r w:rsidRPr="008E77B8">
        <w:t>Parties accessing and calling off from the Framework Agreement</w:t>
      </w:r>
    </w:p>
    <w:p w14:paraId="3EE3A2BB" w14:textId="77777777" w:rsidR="008E77B8" w:rsidRDefault="008E77B8" w:rsidP="008E77B8">
      <w:pPr>
        <w:pStyle w:val="Heading2"/>
      </w:pPr>
      <w:r w:rsidRPr="008E77B8">
        <w:t xml:space="preserve">The Authority, acting for itself and the universities and colleges (Institutions) (and affiliated bodies) in Scotland, including any new and successor Institutions, will be able to access the Agreement. A list of the current Institutions who are eligible to access the agreement can be found in </w:t>
      </w:r>
      <w:r w:rsidRPr="00547973">
        <w:rPr>
          <w:highlight w:val="yellow"/>
        </w:rPr>
        <w:t>Appendix E</w:t>
      </w:r>
      <w:r w:rsidRPr="005B51CE">
        <w:t>.</w:t>
      </w:r>
      <w:r w:rsidRPr="008E77B8">
        <w:t xml:space="preserve">   </w:t>
      </w:r>
    </w:p>
    <w:p w14:paraId="061B7AF8" w14:textId="77777777" w:rsidR="00216F8D" w:rsidRDefault="00216F8D" w:rsidP="00264237"/>
    <w:p w14:paraId="67493CAE" w14:textId="467092ED" w:rsidR="00216F8D" w:rsidRDefault="00216F8D" w:rsidP="00264237"/>
    <w:p w14:paraId="7FA9CF13" w14:textId="5ACB28CF" w:rsidR="00216F8D" w:rsidRDefault="00216F8D" w:rsidP="00264237"/>
    <w:p w14:paraId="307A1360" w14:textId="53537959" w:rsidR="00216F8D" w:rsidRPr="00264237" w:rsidRDefault="00216F8D" w:rsidP="00264237"/>
    <w:p w14:paraId="5CFAAD2B" w14:textId="4999E51E" w:rsidR="00216F8D" w:rsidRDefault="00216F8D">
      <w:pPr>
        <w:ind w:left="720" w:hanging="720"/>
        <w:rPr>
          <w:highlight w:val="yellow"/>
        </w:rPr>
      </w:pPr>
      <w:r>
        <w:rPr>
          <w:highlight w:val="yellow"/>
        </w:rPr>
        <w:br w:type="page"/>
      </w:r>
    </w:p>
    <w:p w14:paraId="3DE6C1A4" w14:textId="0EE1C36D" w:rsidR="008E77B8" w:rsidRPr="008E77B8" w:rsidRDefault="008E77B8" w:rsidP="008E77B8">
      <w:pPr>
        <w:pStyle w:val="Heading1"/>
      </w:pPr>
      <w:r w:rsidRPr="008E77B8">
        <w:t xml:space="preserve">Scope of </w:t>
      </w:r>
      <w:r w:rsidR="00624284">
        <w:t xml:space="preserve">Framework </w:t>
      </w:r>
      <w:r w:rsidRPr="008E77B8">
        <w:t>Requirements Overview</w:t>
      </w:r>
    </w:p>
    <w:p w14:paraId="589F8505" w14:textId="2BBE9FC8" w:rsidR="008E77B8" w:rsidRPr="008E77B8" w:rsidRDefault="008E77B8" w:rsidP="008E77B8">
      <w:pPr>
        <w:pStyle w:val="Heading2"/>
      </w:pPr>
      <w:r w:rsidRPr="008E77B8">
        <w:t xml:space="preserve">The purpose of this procurement exercise is to appoint a range of capable best value Contractors for the supply of VLE Systems and associated Services as detailed within this Invitation to Tender (ITT).   </w:t>
      </w:r>
      <w:r w:rsidR="00940E57">
        <w:t>The Framework Agreement will also act as the mechanism for the Glasgow School of Art to a</w:t>
      </w:r>
      <w:r w:rsidR="007C5360">
        <w:t>ppoint a Contractor to provide a</w:t>
      </w:r>
      <w:r w:rsidR="00940E57">
        <w:t xml:space="preserve"> VLE system.</w:t>
      </w:r>
    </w:p>
    <w:p w14:paraId="7ABF05DA" w14:textId="77777777" w:rsidR="008E77B8" w:rsidRPr="008E77B8" w:rsidRDefault="008E77B8" w:rsidP="008E77B8">
      <w:pPr>
        <w:pStyle w:val="Heading2"/>
      </w:pPr>
      <w:r w:rsidRPr="008E77B8">
        <w:t xml:space="preserve">The scope of this procurement covers the supply of VLE Systems and Associated Services including but not limited to provision of: </w:t>
      </w:r>
    </w:p>
    <w:p w14:paraId="0D5071C3" w14:textId="77777777" w:rsidR="008E77B8" w:rsidRPr="008E77B8" w:rsidRDefault="008E77B8" w:rsidP="009C78AE">
      <w:pPr>
        <w:numPr>
          <w:ilvl w:val="0"/>
          <w:numId w:val="6"/>
        </w:numPr>
        <w:spacing w:before="360"/>
        <w:outlineLvl w:val="1"/>
        <w:rPr>
          <w:kern w:val="24"/>
        </w:rPr>
      </w:pPr>
      <w:r w:rsidRPr="008E77B8">
        <w:rPr>
          <w:kern w:val="24"/>
        </w:rPr>
        <w:t>Timely installation of all required software functionality and upgrades;</w:t>
      </w:r>
    </w:p>
    <w:p w14:paraId="6228F92A" w14:textId="77777777" w:rsidR="008E77B8" w:rsidRPr="008E77B8" w:rsidRDefault="008E77B8" w:rsidP="009C78AE">
      <w:pPr>
        <w:numPr>
          <w:ilvl w:val="0"/>
          <w:numId w:val="6"/>
        </w:numPr>
        <w:spacing w:before="360"/>
        <w:outlineLvl w:val="1"/>
        <w:rPr>
          <w:kern w:val="24"/>
        </w:rPr>
      </w:pPr>
      <w:r w:rsidRPr="008E77B8">
        <w:rPr>
          <w:kern w:val="24"/>
        </w:rPr>
        <w:t>All associated software licensing and or equivalent model of service delivery;</w:t>
      </w:r>
    </w:p>
    <w:p w14:paraId="58EBAA5B" w14:textId="77777777" w:rsidR="008E77B8" w:rsidRPr="008E77B8" w:rsidRDefault="008E77B8" w:rsidP="009C78AE">
      <w:pPr>
        <w:numPr>
          <w:ilvl w:val="0"/>
          <w:numId w:val="6"/>
        </w:numPr>
        <w:spacing w:before="360"/>
        <w:outlineLvl w:val="1"/>
        <w:rPr>
          <w:kern w:val="24"/>
        </w:rPr>
      </w:pPr>
      <w:r w:rsidRPr="008E77B8">
        <w:rPr>
          <w:kern w:val="24"/>
        </w:rPr>
        <w:t xml:space="preserve">Support and Maintenance in line with contractual Service Level obligations; </w:t>
      </w:r>
    </w:p>
    <w:p w14:paraId="63F346B0" w14:textId="77777777" w:rsidR="008E77B8" w:rsidRPr="008E77B8" w:rsidRDefault="008E77B8" w:rsidP="009C78AE">
      <w:pPr>
        <w:numPr>
          <w:ilvl w:val="0"/>
          <w:numId w:val="6"/>
        </w:numPr>
        <w:spacing w:before="360"/>
        <w:outlineLvl w:val="1"/>
        <w:rPr>
          <w:kern w:val="24"/>
        </w:rPr>
      </w:pPr>
      <w:r w:rsidRPr="008E77B8">
        <w:rPr>
          <w:kern w:val="24"/>
        </w:rPr>
        <w:t>Managed Hosting Infrastructure, as required by Institutions, scalable to deliver all Service Level obligations;</w:t>
      </w:r>
    </w:p>
    <w:p w14:paraId="06EBC1C8" w14:textId="77777777" w:rsidR="008E77B8" w:rsidRPr="008E77B8" w:rsidRDefault="008E77B8" w:rsidP="009C78AE">
      <w:pPr>
        <w:numPr>
          <w:ilvl w:val="0"/>
          <w:numId w:val="6"/>
        </w:numPr>
        <w:spacing w:before="360"/>
        <w:outlineLvl w:val="1"/>
        <w:rPr>
          <w:kern w:val="24"/>
        </w:rPr>
      </w:pPr>
      <w:r w:rsidRPr="008E77B8">
        <w:rPr>
          <w:kern w:val="24"/>
        </w:rPr>
        <w:t>Solution Implementation including Data Migration as required by Institutions;</w:t>
      </w:r>
    </w:p>
    <w:p w14:paraId="1D75C217" w14:textId="77777777" w:rsidR="008E77B8" w:rsidRPr="008E77B8" w:rsidRDefault="008E77B8" w:rsidP="009C78AE">
      <w:pPr>
        <w:numPr>
          <w:ilvl w:val="0"/>
          <w:numId w:val="6"/>
        </w:numPr>
        <w:spacing w:before="360"/>
        <w:outlineLvl w:val="1"/>
        <w:rPr>
          <w:kern w:val="24"/>
        </w:rPr>
      </w:pPr>
      <w:r w:rsidRPr="008E77B8">
        <w:rPr>
          <w:kern w:val="24"/>
        </w:rPr>
        <w:t>Project Management of all required Solution Implementations and upgrades as required by Institutions;</w:t>
      </w:r>
    </w:p>
    <w:p w14:paraId="49A3BB2E" w14:textId="77777777" w:rsidR="008E77B8" w:rsidRPr="008E77B8" w:rsidRDefault="008E77B8" w:rsidP="009C78AE">
      <w:pPr>
        <w:numPr>
          <w:ilvl w:val="0"/>
          <w:numId w:val="6"/>
        </w:numPr>
        <w:spacing w:before="360"/>
        <w:outlineLvl w:val="1"/>
        <w:rPr>
          <w:kern w:val="24"/>
        </w:rPr>
      </w:pPr>
      <w:r w:rsidRPr="008E77B8">
        <w:rPr>
          <w:kern w:val="24"/>
        </w:rPr>
        <w:t>High performance Integration with a range of corporate and specialist education sector Systems;</w:t>
      </w:r>
    </w:p>
    <w:p w14:paraId="2950B0D9" w14:textId="77777777" w:rsidR="008E77B8" w:rsidRPr="008E77B8" w:rsidRDefault="008E77B8" w:rsidP="009C78AE">
      <w:pPr>
        <w:numPr>
          <w:ilvl w:val="0"/>
          <w:numId w:val="6"/>
        </w:numPr>
        <w:spacing w:before="360"/>
        <w:outlineLvl w:val="1"/>
        <w:rPr>
          <w:kern w:val="24"/>
        </w:rPr>
      </w:pPr>
      <w:r w:rsidRPr="008E77B8">
        <w:rPr>
          <w:kern w:val="24"/>
        </w:rPr>
        <w:t>Access to relevant institutional data for business intelligence purposes;</w:t>
      </w:r>
    </w:p>
    <w:p w14:paraId="179D4635" w14:textId="77777777" w:rsidR="008E77B8" w:rsidRPr="008E77B8" w:rsidRDefault="008E77B8" w:rsidP="009C78AE">
      <w:pPr>
        <w:numPr>
          <w:ilvl w:val="0"/>
          <w:numId w:val="6"/>
        </w:numPr>
        <w:spacing w:before="360"/>
        <w:outlineLvl w:val="1"/>
        <w:rPr>
          <w:kern w:val="24"/>
        </w:rPr>
      </w:pPr>
      <w:r w:rsidRPr="008E77B8">
        <w:rPr>
          <w:kern w:val="24"/>
        </w:rPr>
        <w:t>Solution Consultancy wherever required by Institutions.</w:t>
      </w:r>
    </w:p>
    <w:p w14:paraId="079B1CC6" w14:textId="77777777" w:rsidR="008E77B8" w:rsidRPr="008E77B8" w:rsidRDefault="008E77B8" w:rsidP="008E77B8">
      <w:pPr>
        <w:pStyle w:val="Heading2"/>
      </w:pPr>
      <w:r w:rsidRPr="008E77B8">
        <w:t xml:space="preserve">The Institutions expect the period of the Framework Agreement to be highly challenging in terms of finance and increasing student expectations.  The appointed Contractors shall be willing to work with Institutions as partners to facilitate efficiencies and service innovation for both parties.  </w:t>
      </w:r>
    </w:p>
    <w:p w14:paraId="64AB9046" w14:textId="77777777" w:rsidR="008E77B8" w:rsidRDefault="008E77B8" w:rsidP="008E77B8">
      <w:pPr>
        <w:pStyle w:val="Heading2"/>
      </w:pPr>
      <w:r w:rsidRPr="008E77B8">
        <w:t>The System users include all potential staff and student users.</w:t>
      </w:r>
    </w:p>
    <w:p w14:paraId="59150BBD" w14:textId="388672DF" w:rsidR="0009589D" w:rsidRDefault="0009589D">
      <w:pPr>
        <w:ind w:left="720" w:hanging="720"/>
      </w:pPr>
      <w:r>
        <w:br w:type="page"/>
      </w:r>
    </w:p>
    <w:p w14:paraId="45F0F748" w14:textId="55CFB0D7" w:rsidR="0009589D" w:rsidRPr="0009589D" w:rsidRDefault="0009589D" w:rsidP="0009589D">
      <w:pPr>
        <w:pStyle w:val="Heading1"/>
      </w:pPr>
      <w:r>
        <w:t>V</w:t>
      </w:r>
      <w:r w:rsidRPr="0009589D">
        <w:t>anguard Institution – Specific Details and Requirements</w:t>
      </w:r>
    </w:p>
    <w:p w14:paraId="484B6FB4" w14:textId="77777777" w:rsidR="0009589D" w:rsidRPr="009C78AE" w:rsidRDefault="0009589D" w:rsidP="009C78AE">
      <w:pPr>
        <w:rPr>
          <w:b/>
        </w:rPr>
      </w:pPr>
      <w:r w:rsidRPr="009C78AE">
        <w:rPr>
          <w:b/>
        </w:rPr>
        <w:t>GSA Profile: Overview</w:t>
      </w:r>
    </w:p>
    <w:p w14:paraId="11093179" w14:textId="77777777" w:rsidR="0009589D" w:rsidRPr="0010054A" w:rsidRDefault="0009589D" w:rsidP="0009589D">
      <w:pPr>
        <w:pStyle w:val="BodyText3"/>
        <w:rPr>
          <w:rFonts w:cs="Arial"/>
          <w:sz w:val="22"/>
          <w:szCs w:val="22"/>
        </w:rPr>
      </w:pPr>
      <w:r w:rsidRPr="0010054A">
        <w:rPr>
          <w:rFonts w:cs="Arial"/>
          <w:sz w:val="22"/>
          <w:szCs w:val="22"/>
        </w:rPr>
        <w:t>Established in 1845, the Glasgow School of Art (GSA) is one of the oldest, and one of the few remaining, independent art schools in the United Kingdom. It is recognised worldwide as one of the United Kingdom’s most successful higher education institutions for the study and advancement of fine art, design and architecture. Classified as a Small Specialist Institution (SSI), it is a practice based school with a well established reputation for the quality of its education, for the success of its students and graduates, for the standing of its staff and for the quality of its research.</w:t>
      </w:r>
    </w:p>
    <w:p w14:paraId="28BBA3B5" w14:textId="77777777" w:rsidR="0009589D" w:rsidRPr="0010054A" w:rsidRDefault="0009589D" w:rsidP="0009589D">
      <w:pPr>
        <w:pStyle w:val="BodyText3"/>
        <w:rPr>
          <w:rFonts w:cs="Arial"/>
          <w:sz w:val="22"/>
          <w:szCs w:val="22"/>
        </w:rPr>
      </w:pPr>
      <w:r w:rsidRPr="0010054A">
        <w:rPr>
          <w:rFonts w:cs="Arial"/>
          <w:sz w:val="22"/>
          <w:szCs w:val="22"/>
        </w:rPr>
        <w:t>GSA is organised into three distinct Schools: -</w:t>
      </w:r>
    </w:p>
    <w:p w14:paraId="41842BCC" w14:textId="77777777" w:rsidR="0009589D" w:rsidRPr="0010054A" w:rsidRDefault="0009589D" w:rsidP="009C78AE">
      <w:pPr>
        <w:pStyle w:val="BodyText3"/>
        <w:numPr>
          <w:ilvl w:val="0"/>
          <w:numId w:val="13"/>
        </w:numPr>
        <w:spacing w:before="0" w:after="0"/>
        <w:ind w:right="51"/>
        <w:rPr>
          <w:rFonts w:cs="Arial"/>
          <w:sz w:val="22"/>
          <w:szCs w:val="22"/>
        </w:rPr>
      </w:pPr>
      <w:r w:rsidRPr="0010054A">
        <w:rPr>
          <w:rFonts w:cs="Arial"/>
          <w:sz w:val="22"/>
          <w:szCs w:val="22"/>
        </w:rPr>
        <w:t>Fine Art</w:t>
      </w:r>
    </w:p>
    <w:p w14:paraId="0691112C" w14:textId="77777777" w:rsidR="0009589D" w:rsidRPr="0010054A" w:rsidRDefault="0009589D" w:rsidP="009C78AE">
      <w:pPr>
        <w:pStyle w:val="BodyText3"/>
        <w:numPr>
          <w:ilvl w:val="0"/>
          <w:numId w:val="13"/>
        </w:numPr>
        <w:spacing w:before="0" w:after="0"/>
        <w:ind w:right="51"/>
        <w:rPr>
          <w:rFonts w:cs="Arial"/>
          <w:sz w:val="22"/>
          <w:szCs w:val="22"/>
        </w:rPr>
      </w:pPr>
      <w:r w:rsidRPr="0010054A">
        <w:rPr>
          <w:rFonts w:cs="Arial"/>
          <w:sz w:val="22"/>
          <w:szCs w:val="22"/>
        </w:rPr>
        <w:t>Design</w:t>
      </w:r>
    </w:p>
    <w:p w14:paraId="3DECE198" w14:textId="2C7E602E" w:rsidR="0009589D" w:rsidRPr="0009589D" w:rsidRDefault="0009589D" w:rsidP="009C78AE">
      <w:pPr>
        <w:pStyle w:val="BodyText3"/>
        <w:numPr>
          <w:ilvl w:val="0"/>
          <w:numId w:val="13"/>
        </w:numPr>
        <w:spacing w:before="0" w:after="0"/>
        <w:ind w:right="51"/>
        <w:rPr>
          <w:rFonts w:cs="Arial"/>
          <w:sz w:val="22"/>
          <w:szCs w:val="22"/>
        </w:rPr>
      </w:pPr>
      <w:r w:rsidRPr="0010054A">
        <w:rPr>
          <w:rFonts w:cs="Arial"/>
          <w:sz w:val="22"/>
          <w:szCs w:val="22"/>
        </w:rPr>
        <w:t>Architecture</w:t>
      </w:r>
    </w:p>
    <w:p w14:paraId="43974B2D" w14:textId="77777777" w:rsidR="0009589D" w:rsidRPr="0010054A" w:rsidRDefault="0009589D" w:rsidP="0009589D">
      <w:pPr>
        <w:pStyle w:val="BodyText3"/>
        <w:rPr>
          <w:rFonts w:cs="Arial"/>
          <w:sz w:val="22"/>
          <w:szCs w:val="22"/>
        </w:rPr>
      </w:pPr>
      <w:r>
        <w:rPr>
          <w:rFonts w:cs="Arial"/>
          <w:sz w:val="22"/>
          <w:szCs w:val="22"/>
        </w:rPr>
        <w:t>In a</w:t>
      </w:r>
      <w:r w:rsidRPr="0010054A">
        <w:rPr>
          <w:rFonts w:cs="Arial"/>
          <w:sz w:val="22"/>
          <w:szCs w:val="22"/>
        </w:rPr>
        <w:t>ddition, the Department of Forum of Critical Inquiry provides a key component to all undergraduate degrees in art and design. All GSA degree programmes are currently validated by and degrees awarded by the University of Glasgow.</w:t>
      </w:r>
    </w:p>
    <w:p w14:paraId="1E2BD7B7" w14:textId="77777777" w:rsidR="0009589D" w:rsidRPr="0010054A" w:rsidRDefault="0009589D" w:rsidP="0009589D">
      <w:pPr>
        <w:pStyle w:val="BodyText3"/>
        <w:rPr>
          <w:rFonts w:cs="Arial"/>
          <w:sz w:val="22"/>
          <w:szCs w:val="22"/>
        </w:rPr>
      </w:pPr>
      <w:r w:rsidRPr="0010054A">
        <w:rPr>
          <w:rFonts w:cs="Arial"/>
          <w:sz w:val="22"/>
          <w:szCs w:val="22"/>
        </w:rPr>
        <w:t xml:space="preserve">GSA offers practice-led, studio-based teaching, learning and research and is currently home to some </w:t>
      </w:r>
      <w:r>
        <w:rPr>
          <w:rFonts w:cs="Arial"/>
          <w:sz w:val="22"/>
          <w:szCs w:val="22"/>
        </w:rPr>
        <w:t>2,350</w:t>
      </w:r>
      <w:r w:rsidRPr="0010054A">
        <w:rPr>
          <w:rFonts w:cs="Arial"/>
          <w:sz w:val="22"/>
          <w:szCs w:val="22"/>
        </w:rPr>
        <w:t xml:space="preserve"> students </w:t>
      </w:r>
      <w:r>
        <w:rPr>
          <w:rFonts w:cs="Arial"/>
          <w:sz w:val="22"/>
          <w:szCs w:val="22"/>
        </w:rPr>
        <w:t>within the city centre estate</w:t>
      </w:r>
      <w:r w:rsidRPr="0010054A">
        <w:rPr>
          <w:rFonts w:cs="Arial"/>
          <w:sz w:val="22"/>
          <w:szCs w:val="22"/>
        </w:rPr>
        <w:t xml:space="preserve">, studying a range of courses leading to undergraduate and postgraduate degrees in a broad range of art, design and architecture disciplines. </w:t>
      </w:r>
    </w:p>
    <w:p w14:paraId="12FF3D35" w14:textId="77777777" w:rsidR="0009589D" w:rsidRPr="0010054A" w:rsidRDefault="0009589D" w:rsidP="0009589D">
      <w:pPr>
        <w:pStyle w:val="BodyText3"/>
        <w:rPr>
          <w:rFonts w:cs="Arial"/>
          <w:sz w:val="22"/>
          <w:szCs w:val="22"/>
        </w:rPr>
      </w:pPr>
      <w:r w:rsidRPr="0010054A">
        <w:rPr>
          <w:rFonts w:cs="Arial"/>
          <w:sz w:val="22"/>
          <w:szCs w:val="22"/>
        </w:rPr>
        <w:t>GSA also has seven specialist research centres, all of which – with the exception of Digital Design Studio – are housed in the current Garnethill estate. The DDS is currently located at the Digital Media Quarter, Pacific Quay.</w:t>
      </w:r>
    </w:p>
    <w:p w14:paraId="64DBD6CB" w14:textId="77777777" w:rsidR="0009589D" w:rsidRDefault="0009589D" w:rsidP="0009589D">
      <w:r>
        <w:t>The profile of the GSA is:</w:t>
      </w:r>
    </w:p>
    <w:p w14:paraId="60CC20F5"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Number of users: 3000</w:t>
      </w:r>
    </w:p>
    <w:p w14:paraId="12193079"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Current Number of active courses and organisations: 307</w:t>
      </w:r>
    </w:p>
    <w:p w14:paraId="6B6540C9" w14:textId="77777777" w:rsidR="0009589D" w:rsidRDefault="0009589D" w:rsidP="009C78AE">
      <w:pPr>
        <w:pStyle w:val="BodyText3"/>
        <w:numPr>
          <w:ilvl w:val="0"/>
          <w:numId w:val="13"/>
        </w:numPr>
        <w:spacing w:before="0" w:after="0"/>
        <w:ind w:right="51"/>
        <w:rPr>
          <w:rFonts w:cs="Arial"/>
          <w:sz w:val="22"/>
          <w:szCs w:val="22"/>
        </w:rPr>
      </w:pPr>
      <w:r w:rsidRPr="00216F8D">
        <w:rPr>
          <w:rFonts w:cs="Arial"/>
          <w:sz w:val="22"/>
          <w:szCs w:val="22"/>
        </w:rPr>
        <w:t>No middleware in place currently. All integration with the VLE System should be live.</w:t>
      </w:r>
    </w:p>
    <w:p w14:paraId="26734D04" w14:textId="63B1BD86" w:rsidR="0009589D" w:rsidRPr="00216F8D" w:rsidRDefault="0009589D" w:rsidP="009C78AE">
      <w:pPr>
        <w:pStyle w:val="BodyText3"/>
        <w:numPr>
          <w:ilvl w:val="0"/>
          <w:numId w:val="13"/>
        </w:numPr>
        <w:spacing w:before="0" w:after="0"/>
        <w:ind w:right="51"/>
        <w:rPr>
          <w:rFonts w:cs="Arial"/>
          <w:sz w:val="22"/>
          <w:szCs w:val="22"/>
        </w:rPr>
      </w:pPr>
      <w:r>
        <w:rPr>
          <w:rFonts w:cs="Arial"/>
          <w:sz w:val="22"/>
          <w:szCs w:val="22"/>
        </w:rPr>
        <w:t>GSA’s VLE requires a minimum of 350GB storage capacity. GSA</w:t>
      </w:r>
      <w:r w:rsidRPr="003C14AC">
        <w:rPr>
          <w:rFonts w:cs="Arial"/>
          <w:sz w:val="22"/>
          <w:szCs w:val="22"/>
        </w:rPr>
        <w:t xml:space="preserve"> store</w:t>
      </w:r>
      <w:r>
        <w:rPr>
          <w:rFonts w:cs="Arial"/>
          <w:sz w:val="22"/>
          <w:szCs w:val="22"/>
        </w:rPr>
        <w:t>s</w:t>
      </w:r>
      <w:r w:rsidRPr="003C14AC">
        <w:rPr>
          <w:rFonts w:cs="Arial"/>
          <w:sz w:val="22"/>
          <w:szCs w:val="22"/>
        </w:rPr>
        <w:t xml:space="preserve"> </w:t>
      </w:r>
      <w:r>
        <w:rPr>
          <w:rFonts w:cs="Arial"/>
          <w:sz w:val="22"/>
          <w:szCs w:val="22"/>
        </w:rPr>
        <w:t xml:space="preserve">some </w:t>
      </w:r>
      <w:r w:rsidRPr="003C14AC">
        <w:rPr>
          <w:rFonts w:cs="Arial"/>
          <w:sz w:val="22"/>
          <w:szCs w:val="22"/>
        </w:rPr>
        <w:t>Mp4 files and TIFF files</w:t>
      </w:r>
      <w:r>
        <w:rPr>
          <w:rFonts w:cs="Arial"/>
          <w:sz w:val="22"/>
          <w:szCs w:val="22"/>
        </w:rPr>
        <w:t>, that are in the 1–50</w:t>
      </w:r>
      <w:r w:rsidRPr="003C14AC">
        <w:rPr>
          <w:rFonts w:cs="Arial"/>
          <w:sz w:val="22"/>
          <w:szCs w:val="22"/>
        </w:rPr>
        <w:t>GB range</w:t>
      </w:r>
      <w:r>
        <w:rPr>
          <w:rFonts w:cs="Arial"/>
          <w:sz w:val="22"/>
          <w:szCs w:val="22"/>
        </w:rPr>
        <w:t>,</w:t>
      </w:r>
      <w:r w:rsidRPr="003C14AC">
        <w:rPr>
          <w:rFonts w:cs="Arial"/>
          <w:sz w:val="22"/>
          <w:szCs w:val="22"/>
        </w:rPr>
        <w:t xml:space="preserve"> but generally these are </w:t>
      </w:r>
      <w:r>
        <w:rPr>
          <w:rFonts w:cs="Arial"/>
          <w:sz w:val="22"/>
          <w:szCs w:val="22"/>
        </w:rPr>
        <w:t>stored outside the VLE.</w:t>
      </w:r>
    </w:p>
    <w:p w14:paraId="305E5ECE" w14:textId="77777777" w:rsidR="0009589D" w:rsidRDefault="0009589D" w:rsidP="0009589D">
      <w:r>
        <w:t>The Systems in place at GSA which need to be integrated with the VLE System are as follows:</w:t>
      </w:r>
    </w:p>
    <w:p w14:paraId="2F67E233"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Antiplagiarism Tool: Turnitin</w:t>
      </w:r>
    </w:p>
    <w:p w14:paraId="3F5D7E71"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Authentication: Active Directory</w:t>
      </w:r>
    </w:p>
    <w:p w14:paraId="00C88C92"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Student Records System: Quercus 8.7.0.3 (Campus IT). Currently manual batch upload on demand, occurring multiple times daily during peak term activity.</w:t>
      </w:r>
    </w:p>
    <w:p w14:paraId="28C57683"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 xml:space="preserve">HR System: ITrent (release 10.18.04, build 28). No integration currently. </w:t>
      </w:r>
    </w:p>
    <w:p w14:paraId="3A603F48"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Email: Office 365. No integration currently.</w:t>
      </w:r>
    </w:p>
    <w:p w14:paraId="19687B46" w14:textId="77777777" w:rsidR="0009589D" w:rsidRDefault="0009589D" w:rsidP="0009589D">
      <w:r>
        <w:t>The systems being explored at GSA which may integrate with the VLE System in the future:</w:t>
      </w:r>
    </w:p>
    <w:p w14:paraId="584DDA96"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 xml:space="preserve">Finance System: Agresso </w:t>
      </w:r>
    </w:p>
    <w:p w14:paraId="3DC78223"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Reading list software: not currently in place</w:t>
      </w:r>
    </w:p>
    <w:p w14:paraId="29D843CB" w14:textId="77777777" w:rsidR="0009589D" w:rsidRPr="00216F8D" w:rsidRDefault="0009589D" w:rsidP="009C78AE">
      <w:pPr>
        <w:pStyle w:val="BodyText3"/>
        <w:numPr>
          <w:ilvl w:val="0"/>
          <w:numId w:val="13"/>
        </w:numPr>
        <w:spacing w:before="0" w:after="0"/>
        <w:ind w:right="51"/>
        <w:rPr>
          <w:rFonts w:cs="Arial"/>
          <w:sz w:val="22"/>
          <w:szCs w:val="22"/>
        </w:rPr>
      </w:pPr>
      <w:r w:rsidRPr="00216F8D">
        <w:rPr>
          <w:rFonts w:cs="Arial"/>
          <w:sz w:val="22"/>
          <w:szCs w:val="22"/>
        </w:rPr>
        <w:t>Web conferencing tool: not currently in place</w:t>
      </w:r>
    </w:p>
    <w:p w14:paraId="68AD9CBC" w14:textId="77777777" w:rsidR="0009589D" w:rsidRPr="0009589D" w:rsidRDefault="0009589D" w:rsidP="009C78AE">
      <w:pPr>
        <w:pStyle w:val="BodyText3"/>
        <w:numPr>
          <w:ilvl w:val="0"/>
          <w:numId w:val="13"/>
        </w:numPr>
        <w:spacing w:before="0" w:after="0"/>
        <w:ind w:right="51"/>
      </w:pPr>
      <w:r w:rsidRPr="00216F8D">
        <w:rPr>
          <w:rFonts w:cs="Arial"/>
          <w:sz w:val="22"/>
          <w:szCs w:val="22"/>
        </w:rPr>
        <w:t>EPortfolio tool: currently piloting Pathbrite</w:t>
      </w:r>
    </w:p>
    <w:p w14:paraId="0A389A5C" w14:textId="34C0B7E4" w:rsidR="0009589D" w:rsidRDefault="0009589D">
      <w:pPr>
        <w:ind w:left="720" w:hanging="720"/>
        <w:rPr>
          <w:sz w:val="16"/>
          <w:szCs w:val="16"/>
        </w:rPr>
      </w:pPr>
      <w:r>
        <w:br w:type="page"/>
      </w:r>
    </w:p>
    <w:p w14:paraId="605B631E" w14:textId="77777777" w:rsidR="0009589D" w:rsidRDefault="0009589D" w:rsidP="0009589D">
      <w:pPr>
        <w:pStyle w:val="BodyText3"/>
        <w:spacing w:before="0" w:after="0"/>
        <w:ind w:left="720" w:right="51"/>
      </w:pPr>
    </w:p>
    <w:p w14:paraId="2E109E61" w14:textId="55B1BE16" w:rsidR="00940E57" w:rsidRDefault="00940E57" w:rsidP="0009589D">
      <w:pPr>
        <w:pStyle w:val="Heading3"/>
        <w:rPr>
          <w:b/>
        </w:rPr>
      </w:pPr>
      <w:r>
        <w:rPr>
          <w:b/>
        </w:rPr>
        <w:t>GSA Contract Duration</w:t>
      </w:r>
    </w:p>
    <w:p w14:paraId="2EE283C8" w14:textId="255B8EC2" w:rsidR="00940E57" w:rsidRPr="00940E57" w:rsidRDefault="00940E57" w:rsidP="00940E57">
      <w:pPr>
        <w:pStyle w:val="Heading3"/>
      </w:pPr>
      <w:r w:rsidRPr="00940E57">
        <w:t>GSA as the Vanguard institution requires a direct Call-off contract to the number one ranked Tenderer for a minimum term of four years with the option to extend, at the Customers sole discretion for one further period of two (2) years and two further period(s) of twelve (12) months each.  (4+2+1+1 years)</w:t>
      </w:r>
    </w:p>
    <w:p w14:paraId="4E98C45B" w14:textId="5471AEFC" w:rsidR="00940E57" w:rsidRPr="00940E57" w:rsidRDefault="00940E57" w:rsidP="00940E57">
      <w:pPr>
        <w:pStyle w:val="Heading3"/>
      </w:pPr>
      <w:r w:rsidRPr="00940E57">
        <w:t xml:space="preserve">GSA reserves the right to award in part, in full or not at all. </w:t>
      </w:r>
    </w:p>
    <w:p w14:paraId="1ED62278" w14:textId="77777777" w:rsidR="00940E57" w:rsidRPr="00940E57" w:rsidRDefault="00940E57" w:rsidP="00940E57"/>
    <w:p w14:paraId="6762B7E7" w14:textId="77777777" w:rsidR="0009589D" w:rsidRPr="00216F8D" w:rsidRDefault="0009589D" w:rsidP="0009589D">
      <w:pPr>
        <w:pStyle w:val="Heading3"/>
        <w:rPr>
          <w:b/>
        </w:rPr>
      </w:pPr>
      <w:r w:rsidRPr="00216F8D">
        <w:rPr>
          <w:b/>
        </w:rPr>
        <w:t>Key Concerns</w:t>
      </w:r>
    </w:p>
    <w:p w14:paraId="5136106E" w14:textId="5C267D85" w:rsidR="0009589D" w:rsidRDefault="0009589D" w:rsidP="0009589D">
      <w:r>
        <w:t>GSA has a challenging timeframe in which to complete the implementation of the successful</w:t>
      </w:r>
      <w:r w:rsidR="006529D3">
        <w:t xml:space="preserve"> VLE System</w:t>
      </w:r>
      <w:r>
        <w:t>.  The System must be running and fully operational for the start of term, September 2017. Any competitors for this tender must be able to begin the implementation plan immediately post contract award. GSA Staff must have had the opportunity for training in the Spring of 2017 so that they can begin to build their courses before they leave for summer break.</w:t>
      </w:r>
    </w:p>
    <w:p w14:paraId="22211AF0" w14:textId="77777777" w:rsidR="0009589D" w:rsidRDefault="0009589D" w:rsidP="0009589D">
      <w:r>
        <w:t>The proposed VLE System shall integrate successfully with Office 365. This is currently used for email, and GSA has plans to explore further use of Sharepoint and OneDrive, and potentially Skype for Business. The VLE System must accommodate these potential expansions of 365.</w:t>
      </w:r>
    </w:p>
    <w:p w14:paraId="6B132DE5" w14:textId="77777777" w:rsidR="0009589D" w:rsidRDefault="0009589D" w:rsidP="0009589D">
      <w:r>
        <w:t>As an art school with an emphasis on studio-based instruction, the VLE System that GSA uses must work with the School’s model of collaborative, peer-centric, student-led education. GSA’s tutors want a responsive VLE System that integrates with other tools on the web that they and the students already use.</w:t>
      </w:r>
    </w:p>
    <w:p w14:paraId="2C6FFF43" w14:textId="5FA07BCA" w:rsidR="0009589D" w:rsidRDefault="0009589D">
      <w:pPr>
        <w:ind w:left="720" w:hanging="720"/>
      </w:pPr>
      <w:r>
        <w:br w:type="page"/>
      </w:r>
    </w:p>
    <w:p w14:paraId="2AB9D50B" w14:textId="77777777" w:rsidR="0009589D" w:rsidRDefault="0009589D" w:rsidP="0009589D"/>
    <w:p w14:paraId="0012E20C" w14:textId="08FC0B66" w:rsidR="0009589D" w:rsidRPr="00694F71" w:rsidRDefault="00694F71" w:rsidP="0009589D">
      <w:pPr>
        <w:pStyle w:val="Heading3"/>
        <w:rPr>
          <w:b/>
        </w:rPr>
      </w:pPr>
      <w:r>
        <w:rPr>
          <w:b/>
        </w:rPr>
        <w:t>Potential Implementation Milestones</w:t>
      </w:r>
      <w:r w:rsidR="0009589D" w:rsidRPr="00694F71">
        <w:rPr>
          <w:b/>
        </w:rPr>
        <w:t>: Glasgow School of Art</w:t>
      </w:r>
    </w:p>
    <w:p w14:paraId="49FF1112" w14:textId="6C95320E" w:rsidR="00473D92" w:rsidRDefault="00473D92" w:rsidP="00473D92">
      <w:r>
        <w:t xml:space="preserve">Listed below are potential example implementation milestones.  Tenderers should consider the potential applicability </w:t>
      </w:r>
      <w:r w:rsidR="009B55DE">
        <w:t xml:space="preserve">and order </w:t>
      </w:r>
      <w:r>
        <w:t xml:space="preserve">of these milestones in their </w:t>
      </w:r>
      <w:r w:rsidR="009B55DE">
        <w:t xml:space="preserve">comprehensive </w:t>
      </w:r>
      <w:r>
        <w:t xml:space="preserve">response to the Technical Questionnaire, section 3 below.  </w:t>
      </w:r>
    </w:p>
    <w:p w14:paraId="635C2AA8" w14:textId="77777777" w:rsidR="00473D92" w:rsidRDefault="00473D92" w:rsidP="00473D92"/>
    <w:p w14:paraId="62BCDB2D" w14:textId="123DD702" w:rsidR="009B55DE" w:rsidRDefault="009B55DE" w:rsidP="00473D92">
      <w:pPr>
        <w:pStyle w:val="Heading4"/>
      </w:pPr>
      <w:r>
        <w:t>Project Initiation including co-ordination with relevant GSA in-house teams</w:t>
      </w:r>
      <w:r w:rsidR="004B59BD">
        <w:t>.</w:t>
      </w:r>
    </w:p>
    <w:p w14:paraId="5F7F66B4" w14:textId="42675BE9" w:rsidR="00473D92" w:rsidRDefault="00473D92" w:rsidP="00473D92">
      <w:pPr>
        <w:pStyle w:val="Heading4"/>
      </w:pPr>
      <w:r>
        <w:t xml:space="preserve">Integrate with existing GSA </w:t>
      </w:r>
      <w:r w:rsidR="009B55DE">
        <w:t>systems particularly student records</w:t>
      </w:r>
      <w:r w:rsidR="004B59BD">
        <w:t>.</w:t>
      </w:r>
    </w:p>
    <w:p w14:paraId="6C478CA4" w14:textId="6148D6DA" w:rsidR="009B55DE" w:rsidRDefault="009B55DE" w:rsidP="009B55DE">
      <w:pPr>
        <w:pStyle w:val="Heading4"/>
      </w:pPr>
      <w:r>
        <w:t>Finalise VLE Data Structure including categories, courses, content, landing page, permissions</w:t>
      </w:r>
      <w:r w:rsidR="004B59BD">
        <w:t>.</w:t>
      </w:r>
    </w:p>
    <w:p w14:paraId="3BA383FB" w14:textId="6CB7C68C" w:rsidR="009B55DE" w:rsidRDefault="009B55DE" w:rsidP="009B55DE">
      <w:pPr>
        <w:pStyle w:val="Heading4"/>
      </w:pPr>
      <w:r>
        <w:t>Customisation and GSA Branding</w:t>
      </w:r>
      <w:r w:rsidR="004B59BD">
        <w:t>.</w:t>
      </w:r>
    </w:p>
    <w:p w14:paraId="45802653" w14:textId="5CEF8B17" w:rsidR="009B55DE" w:rsidRDefault="009B55DE" w:rsidP="009B55DE">
      <w:pPr>
        <w:pStyle w:val="Heading4"/>
      </w:pPr>
      <w:r>
        <w:t>Migrate courses to VLE</w:t>
      </w:r>
      <w:r w:rsidR="004B59BD">
        <w:t xml:space="preserve"> solution</w:t>
      </w:r>
      <w:r>
        <w:t xml:space="preserve">, phasing </w:t>
      </w:r>
      <w:r w:rsidR="004B59BD">
        <w:t xml:space="preserve">in </w:t>
      </w:r>
      <w:r>
        <w:t>with early adopters and champions</w:t>
      </w:r>
      <w:r w:rsidR="004B59BD">
        <w:t>.</w:t>
      </w:r>
    </w:p>
    <w:p w14:paraId="415D4735" w14:textId="3EEB1E20" w:rsidR="009B55DE" w:rsidRDefault="009B55DE" w:rsidP="009B55DE">
      <w:pPr>
        <w:pStyle w:val="Heading4"/>
      </w:pPr>
      <w:r>
        <w:t>Training of Systems Administrators (superusers) and all other staff users</w:t>
      </w:r>
      <w:r w:rsidR="004B59BD">
        <w:t>.</w:t>
      </w:r>
    </w:p>
    <w:p w14:paraId="36B957E8" w14:textId="00792353" w:rsidR="009B55DE" w:rsidRDefault="004B59BD" w:rsidP="009B55DE">
      <w:pPr>
        <w:pStyle w:val="Heading4"/>
      </w:pPr>
      <w:r>
        <w:t xml:space="preserve">2017-18 Courses created including electives determined and set-up.  </w:t>
      </w:r>
    </w:p>
    <w:p w14:paraId="2B1B0991" w14:textId="51243AD1" w:rsidR="004B59BD" w:rsidRDefault="004B59BD" w:rsidP="004B59BD">
      <w:pPr>
        <w:pStyle w:val="Heading4"/>
      </w:pPr>
      <w:r>
        <w:t xml:space="preserve">Further Training including:  best use of the VLE solution; effective course design; collaborative activities; on-line assessment; student training.  </w:t>
      </w:r>
    </w:p>
    <w:p w14:paraId="723E0A76" w14:textId="2CDD3FF3" w:rsidR="004B59BD" w:rsidRPr="004B59BD" w:rsidRDefault="004B59BD" w:rsidP="004B59BD">
      <w:pPr>
        <w:pStyle w:val="Heading4"/>
      </w:pPr>
      <w:r>
        <w:t>Final content migration and archiving.</w:t>
      </w:r>
    </w:p>
    <w:p w14:paraId="59D499AF" w14:textId="6D1DAEF2" w:rsidR="0009589D" w:rsidRDefault="0009589D" w:rsidP="00473D92">
      <w:pPr>
        <w:pStyle w:val="Heading3"/>
      </w:pPr>
      <w:r>
        <w:br w:type="page"/>
      </w:r>
    </w:p>
    <w:p w14:paraId="17703013" w14:textId="77777777" w:rsidR="0009589D" w:rsidRPr="0009589D" w:rsidRDefault="0009589D" w:rsidP="0009589D"/>
    <w:p w14:paraId="24CABE0D" w14:textId="77777777" w:rsidR="008E77B8" w:rsidRPr="008E77B8" w:rsidRDefault="008E77B8" w:rsidP="00296B59">
      <w:pPr>
        <w:pStyle w:val="Heading1"/>
      </w:pPr>
      <w:bookmarkStart w:id="4" w:name="_Design"/>
      <w:bookmarkEnd w:id="4"/>
      <w:r w:rsidRPr="008E77B8">
        <w:t xml:space="preserve">Design </w:t>
      </w:r>
    </w:p>
    <w:p w14:paraId="10E9AC6D" w14:textId="77777777" w:rsidR="008E77B8" w:rsidRPr="008E77B8" w:rsidRDefault="008E77B8" w:rsidP="00296B59">
      <w:pPr>
        <w:pStyle w:val="SectionBodytext"/>
      </w:pPr>
      <w:r w:rsidRPr="008E77B8">
        <w:t>The Contractor shall provide a System with, and without limitation</w:t>
      </w:r>
      <w:r w:rsidR="008F5688">
        <w:t xml:space="preserve"> to, the characteristics below. </w:t>
      </w:r>
      <w:r w:rsidRPr="008E77B8">
        <w:t>The System shall:</w:t>
      </w:r>
    </w:p>
    <w:p w14:paraId="6F8891CF" w14:textId="29971FF0" w:rsidR="008E77B8" w:rsidRPr="008E77B8" w:rsidRDefault="00013214" w:rsidP="00296B59">
      <w:pPr>
        <w:pStyle w:val="Heading3"/>
      </w:pPr>
      <w:r>
        <w:t>Be intuitive to use, including clear navigation.</w:t>
      </w:r>
    </w:p>
    <w:p w14:paraId="06ED42D4" w14:textId="68C3CE64" w:rsidR="00BA2C3D" w:rsidRDefault="00013214" w:rsidP="00296B59">
      <w:pPr>
        <w:pStyle w:val="Heading3"/>
      </w:pPr>
      <w:r>
        <w:t xml:space="preserve">Be </w:t>
      </w:r>
      <w:r w:rsidR="00BA2C3D">
        <w:t>brandable by I</w:t>
      </w:r>
      <w:r w:rsidR="008E77B8" w:rsidRPr="008E77B8">
        <w:t>nstitution</w:t>
      </w:r>
      <w:r w:rsidR="00BA2C3D">
        <w:t>.</w:t>
      </w:r>
    </w:p>
    <w:p w14:paraId="15336135" w14:textId="3446552A" w:rsidR="008E77B8" w:rsidRPr="008E77B8" w:rsidRDefault="00BA2C3D" w:rsidP="00296B59">
      <w:pPr>
        <w:pStyle w:val="Heading3"/>
      </w:pPr>
      <w:r>
        <w:t>Be fully customisable by Institution, including</w:t>
      </w:r>
      <w:r w:rsidR="008E77B8" w:rsidRPr="008E77B8">
        <w:t xml:space="preserve"> design of interface, aesthetics and colours, etc.</w:t>
      </w:r>
    </w:p>
    <w:p w14:paraId="6F24EF70" w14:textId="1734477F" w:rsidR="008E77B8" w:rsidRPr="008E77B8" w:rsidRDefault="008E77B8" w:rsidP="00296B59">
      <w:pPr>
        <w:pStyle w:val="Heading3"/>
      </w:pPr>
      <w:r w:rsidRPr="008E77B8">
        <w:t xml:space="preserve">Enable </w:t>
      </w:r>
      <w:r w:rsidR="00B82CAB">
        <w:t xml:space="preserve">individual </w:t>
      </w:r>
      <w:r w:rsidRPr="008E77B8">
        <w:t>users to personalise the System.</w:t>
      </w:r>
    </w:p>
    <w:p w14:paraId="77029CF0" w14:textId="151AC30B" w:rsidR="008E77B8" w:rsidRPr="008E77B8" w:rsidRDefault="00B82CAB" w:rsidP="00296B59">
      <w:pPr>
        <w:pStyle w:val="Heading3"/>
      </w:pPr>
      <w:r w:rsidRPr="008E77B8">
        <w:t>User Interface should be device agnostic</w:t>
      </w:r>
      <w:r>
        <w:t xml:space="preserve">, </w:t>
      </w:r>
      <w:r w:rsidR="008E77B8" w:rsidRPr="008E77B8">
        <w:t xml:space="preserve">e.g. the graphical user interface (GUI) resizes according to user device. </w:t>
      </w:r>
    </w:p>
    <w:p w14:paraId="7A1C6983" w14:textId="77777777" w:rsidR="00B82CAB" w:rsidRPr="008E77B8" w:rsidRDefault="00B82CAB" w:rsidP="00B82CAB">
      <w:pPr>
        <w:pStyle w:val="Heading3"/>
        <w:rPr>
          <w:strike/>
          <w:color w:val="FF0000"/>
        </w:rPr>
      </w:pPr>
      <w:r w:rsidRPr="008E77B8">
        <w:t>E</w:t>
      </w:r>
      <w:r>
        <w:t>nable</w:t>
      </w:r>
      <w:r w:rsidRPr="008E77B8">
        <w:t xml:space="preserve"> progressive enhancement, allowing newer browsers to take advantage of modern features and web standards, with appropriate fall backs for older browsers.</w:t>
      </w:r>
    </w:p>
    <w:p w14:paraId="7EF0F14D" w14:textId="64DC9ED2" w:rsidR="008E77B8" w:rsidRPr="008E77B8" w:rsidRDefault="008E77B8" w:rsidP="00296B59">
      <w:pPr>
        <w:pStyle w:val="Heading3"/>
      </w:pPr>
      <w:r w:rsidRPr="008E77B8">
        <w:t>Support Drag and Drop</w:t>
      </w:r>
      <w:r w:rsidR="00A00670">
        <w:t xml:space="preserve"> editing, which should be fully</w:t>
      </w:r>
      <w:r w:rsidR="008E4FB9">
        <w:t xml:space="preserve"> embedded within the System.</w:t>
      </w:r>
    </w:p>
    <w:p w14:paraId="7C6613A6" w14:textId="77777777" w:rsidR="008E77B8" w:rsidRPr="008E77B8" w:rsidRDefault="008E77B8" w:rsidP="00296B59">
      <w:pPr>
        <w:pStyle w:val="Heading3"/>
      </w:pPr>
      <w:r w:rsidRPr="008E77B8">
        <w:t>Comply with W3C accessibility standards, including WCAG 2.0 level AA, as a minimum. This should include prompts for users creating content, including the requirement for users to tag the photos and videos they upload.</w:t>
      </w:r>
    </w:p>
    <w:p w14:paraId="4DBE876B" w14:textId="77777777" w:rsidR="008E77B8" w:rsidRPr="008E77B8" w:rsidRDefault="008E77B8" w:rsidP="00296B59">
      <w:pPr>
        <w:pStyle w:val="Heading1"/>
      </w:pPr>
      <w:bookmarkStart w:id="5" w:name="_Pedagogical_Functionality"/>
      <w:bookmarkEnd w:id="5"/>
      <w:r w:rsidRPr="008E77B8">
        <w:t xml:space="preserve">Pedagogical Functionality </w:t>
      </w:r>
    </w:p>
    <w:p w14:paraId="215DFDE6" w14:textId="77777777" w:rsidR="008E77B8" w:rsidRPr="00296B59" w:rsidRDefault="008E77B8" w:rsidP="00296B59">
      <w:pPr>
        <w:pStyle w:val="Heading2"/>
        <w:rPr>
          <w:b/>
        </w:rPr>
      </w:pPr>
      <w:r w:rsidRPr="00296B59">
        <w:rPr>
          <w:b/>
        </w:rPr>
        <w:t>Content</w:t>
      </w:r>
    </w:p>
    <w:p w14:paraId="2DE214DB" w14:textId="77777777" w:rsidR="008E77B8" w:rsidRPr="008E77B8" w:rsidRDefault="008E77B8" w:rsidP="00296B59">
      <w:pPr>
        <w:pStyle w:val="SectionBodytext"/>
      </w:pPr>
      <w:r w:rsidRPr="008E77B8">
        <w:t>The System shall enable usage of multiple file types and flexible management of content, including and without limitation to, the characteristics and features within Section 5.1 below.</w:t>
      </w:r>
    </w:p>
    <w:p w14:paraId="5546E728" w14:textId="77777777" w:rsidR="008E77B8" w:rsidRPr="00296B59" w:rsidRDefault="008E77B8" w:rsidP="00296B59">
      <w:pPr>
        <w:pStyle w:val="Heading3"/>
        <w:rPr>
          <w:b/>
          <w:i/>
        </w:rPr>
      </w:pPr>
      <w:r w:rsidRPr="00296B59">
        <w:rPr>
          <w:b/>
          <w:i/>
        </w:rPr>
        <w:t xml:space="preserve">Files </w:t>
      </w:r>
    </w:p>
    <w:p w14:paraId="1C1EBBF4" w14:textId="77777777" w:rsidR="008E77B8" w:rsidRPr="008E77B8" w:rsidRDefault="008E77B8" w:rsidP="00296B59">
      <w:pPr>
        <w:pStyle w:val="Heading4"/>
        <w:rPr>
          <w:color w:val="00B050"/>
        </w:rPr>
      </w:pPr>
      <w:r w:rsidRPr="008E77B8">
        <w:t>The System enables a wide range of file types to be uploaded</w:t>
      </w:r>
      <w:r w:rsidRPr="008E77B8">
        <w:rPr>
          <w:color w:val="00B050"/>
        </w:rPr>
        <w:t xml:space="preserve">, </w:t>
      </w:r>
      <w:r w:rsidRPr="008E77B8">
        <w:t>including but not limited to, DOC, DOCX, HTML, RTF, PDF.</w:t>
      </w:r>
    </w:p>
    <w:p w14:paraId="621D51FC" w14:textId="77777777" w:rsidR="008E77B8" w:rsidRPr="008E77B8" w:rsidRDefault="008E77B8" w:rsidP="00296B59">
      <w:pPr>
        <w:pStyle w:val="Heading4"/>
      </w:pPr>
      <w:r w:rsidRPr="008E77B8">
        <w:t xml:space="preserve">Administrators should be capable of specifying and limiting file sizes and amending permissions and files sizes by course. </w:t>
      </w:r>
    </w:p>
    <w:p w14:paraId="19DF224A" w14:textId="77777777" w:rsidR="008E77B8" w:rsidRPr="008E77B8" w:rsidRDefault="008E77B8" w:rsidP="00296B59">
      <w:pPr>
        <w:pStyle w:val="Heading4"/>
      </w:pPr>
      <w:r w:rsidRPr="008E77B8">
        <w:t>The System automatically displays appropriate icons for file types.</w:t>
      </w:r>
    </w:p>
    <w:p w14:paraId="20334062" w14:textId="4C62525D" w:rsidR="008E77B8" w:rsidRPr="008E77B8" w:rsidRDefault="00D4560F" w:rsidP="00296B59">
      <w:pPr>
        <w:pStyle w:val="Heading4"/>
      </w:pPr>
      <w:r>
        <w:t>The System has c</w:t>
      </w:r>
      <w:r w:rsidR="008E77B8" w:rsidRPr="008E77B8">
        <w:t>apability to insert, embed, batch upload and import multiple content items.</w:t>
      </w:r>
    </w:p>
    <w:p w14:paraId="6939BEB9" w14:textId="6F22F997" w:rsidR="008E77B8" w:rsidRPr="008E77B8" w:rsidRDefault="00D4560F" w:rsidP="00296B59">
      <w:pPr>
        <w:pStyle w:val="Heading4"/>
      </w:pPr>
      <w:r>
        <w:t>The System has c</w:t>
      </w:r>
      <w:r w:rsidR="008E77B8" w:rsidRPr="008E77B8">
        <w:t xml:space="preserve">apability to embed </w:t>
      </w:r>
      <w:r w:rsidR="00B82CAB">
        <w:t>external content</w:t>
      </w:r>
      <w:r w:rsidR="008E77B8" w:rsidRPr="008E77B8">
        <w:t xml:space="preserve"> within courses</w:t>
      </w:r>
      <w:r w:rsidR="00B82CAB">
        <w:t>.</w:t>
      </w:r>
    </w:p>
    <w:p w14:paraId="6756B837" w14:textId="2F09E26D" w:rsidR="008E77B8" w:rsidRPr="008E77B8" w:rsidRDefault="00D4560F" w:rsidP="00296B59">
      <w:pPr>
        <w:pStyle w:val="Heading4"/>
      </w:pPr>
      <w:r>
        <w:t>The System has t</w:t>
      </w:r>
      <w:r w:rsidR="008E77B8" w:rsidRPr="008E77B8">
        <w:t>he ability to batch import external content in directories.</w:t>
      </w:r>
    </w:p>
    <w:p w14:paraId="04E5FD3C" w14:textId="77777777" w:rsidR="008E77B8" w:rsidRPr="00296B59" w:rsidRDefault="008E77B8" w:rsidP="00296B59">
      <w:pPr>
        <w:pStyle w:val="Heading3"/>
        <w:rPr>
          <w:b/>
          <w:i/>
        </w:rPr>
      </w:pPr>
      <w:r w:rsidRPr="00296B59">
        <w:rPr>
          <w:b/>
          <w:i/>
        </w:rPr>
        <w:t>Content Organisation</w:t>
      </w:r>
    </w:p>
    <w:p w14:paraId="0630A5D1" w14:textId="77777777" w:rsidR="008E77B8" w:rsidRPr="008E77B8" w:rsidRDefault="008E77B8" w:rsidP="00296B59">
      <w:pPr>
        <w:pStyle w:val="Heading4"/>
      </w:pPr>
      <w:r w:rsidRPr="008E77B8">
        <w:t xml:space="preserve">The System should provide an intuitive content editor that includes the option for users to create their own content without usage of html or mark-up schemas. The content editor should also include video/audio recording capabilities. </w:t>
      </w:r>
    </w:p>
    <w:p w14:paraId="1355ED30" w14:textId="77777777" w:rsidR="008E77B8" w:rsidRPr="008E77B8" w:rsidRDefault="008E77B8" w:rsidP="00296B59">
      <w:pPr>
        <w:pStyle w:val="Heading4"/>
      </w:pPr>
      <w:r w:rsidRPr="008E77B8">
        <w:t>The System should provide fully enabled mobile access to content items and content editing tools.</w:t>
      </w:r>
    </w:p>
    <w:p w14:paraId="62790EFF" w14:textId="0A42B833" w:rsidR="008E77B8" w:rsidRPr="008E77B8" w:rsidRDefault="008E77B8" w:rsidP="00296B59">
      <w:pPr>
        <w:pStyle w:val="Heading4"/>
      </w:pPr>
      <w:r w:rsidRPr="008E77B8">
        <w:t>Uploaded files and course resources should be sharable across courses and categories. Any edits made to a master file should cascade to all linked locations.</w:t>
      </w:r>
    </w:p>
    <w:p w14:paraId="3495FAAC" w14:textId="3AC97E6E" w:rsidR="008E77B8" w:rsidRPr="008E77B8" w:rsidRDefault="008E77B8" w:rsidP="00296B59">
      <w:pPr>
        <w:pStyle w:val="Heading4"/>
      </w:pPr>
      <w:r w:rsidRPr="008E77B8">
        <w:t>Content versioning should be possible. For example, a current course points at the current version of the file</w:t>
      </w:r>
      <w:r w:rsidR="00D4560F">
        <w:t>,</w:t>
      </w:r>
      <w:r w:rsidRPr="008E77B8">
        <w:t xml:space="preserve"> while an archived course points at a previous version of the same file.</w:t>
      </w:r>
    </w:p>
    <w:p w14:paraId="78BE6F66" w14:textId="77777777" w:rsidR="008E77B8" w:rsidRPr="00D24DFD" w:rsidRDefault="008E77B8" w:rsidP="00296B59">
      <w:pPr>
        <w:pStyle w:val="Heading4"/>
      </w:pPr>
      <w:r w:rsidRPr="00D24DFD">
        <w:t>The System shall enable drag and drop functionality for ordering modules, units, courses and content/resources.</w:t>
      </w:r>
    </w:p>
    <w:p w14:paraId="3CC490DE" w14:textId="77777777" w:rsidR="008E77B8" w:rsidRPr="008E77B8" w:rsidRDefault="008E77B8" w:rsidP="00296B59">
      <w:pPr>
        <w:pStyle w:val="Heading4"/>
      </w:pPr>
      <w:r w:rsidRPr="008E77B8">
        <w:t>The System shall have capability to define a pathway through content via sequential or conditional access (conditional upon time, date, group or completion of activity).</w:t>
      </w:r>
    </w:p>
    <w:p w14:paraId="14092E13" w14:textId="77777777" w:rsidR="00B82CAB" w:rsidRDefault="00444A2B" w:rsidP="00B82CAB">
      <w:pPr>
        <w:pStyle w:val="Heading4"/>
      </w:pPr>
      <w:r>
        <w:t>The System shall have c</w:t>
      </w:r>
      <w:r w:rsidR="008E77B8" w:rsidRPr="008E77B8">
        <w:t xml:space="preserve">apability to search for courses and </w:t>
      </w:r>
      <w:r w:rsidR="002B03E1">
        <w:t xml:space="preserve">within </w:t>
      </w:r>
      <w:r w:rsidR="008E77B8" w:rsidRPr="008E77B8">
        <w:t>course materials.</w:t>
      </w:r>
      <w:r w:rsidR="00B82CAB" w:rsidRPr="00B82CAB">
        <w:t xml:space="preserve"> </w:t>
      </w:r>
    </w:p>
    <w:p w14:paraId="5BF67561" w14:textId="71B05947" w:rsidR="008E77B8" w:rsidRPr="008E77B8" w:rsidRDefault="00B82CAB" w:rsidP="00B82CAB">
      <w:pPr>
        <w:pStyle w:val="Heading4"/>
      </w:pPr>
      <w:r w:rsidRPr="008E77B8">
        <w:t>Students should ha</w:t>
      </w:r>
      <w:r>
        <w:t xml:space="preserve">ve a personal file storage area </w:t>
      </w:r>
      <w:r w:rsidRPr="00444A2B">
        <w:t>and/or access to mobile storage and/ or ability to link to external store</w:t>
      </w:r>
      <w:r>
        <w:t>,</w:t>
      </w:r>
      <w:r w:rsidRPr="00444A2B">
        <w:t xml:space="preserve"> e.g. Office 365</w:t>
      </w:r>
      <w:r>
        <w:t>.</w:t>
      </w:r>
    </w:p>
    <w:p w14:paraId="7B74A3F5" w14:textId="77777777" w:rsidR="008E77B8" w:rsidRPr="00296B59" w:rsidRDefault="008E77B8" w:rsidP="00296B59">
      <w:pPr>
        <w:pStyle w:val="Heading2"/>
        <w:rPr>
          <w:b/>
        </w:rPr>
      </w:pPr>
      <w:r w:rsidRPr="00296B59">
        <w:rPr>
          <w:b/>
        </w:rPr>
        <w:t>Assessment</w:t>
      </w:r>
    </w:p>
    <w:p w14:paraId="44C2DEB2" w14:textId="77777777" w:rsidR="008E77B8" w:rsidRPr="008E77B8" w:rsidRDefault="008E77B8" w:rsidP="00296B59">
      <w:pPr>
        <w:pStyle w:val="SectionBodytext"/>
      </w:pPr>
      <w:r w:rsidRPr="008E77B8">
        <w:t>The institution shall use the VLE System to assess student work and provide feedback, including, but not limited to, the capabilities in 5.2 below.</w:t>
      </w:r>
    </w:p>
    <w:p w14:paraId="02E633B3" w14:textId="77777777" w:rsidR="008E77B8" w:rsidRPr="00296B59" w:rsidRDefault="008E77B8" w:rsidP="00296B59">
      <w:pPr>
        <w:pStyle w:val="Heading3"/>
        <w:rPr>
          <w:b/>
          <w:i/>
        </w:rPr>
      </w:pPr>
      <w:r w:rsidRPr="00296B59">
        <w:rPr>
          <w:b/>
          <w:i/>
        </w:rPr>
        <w:t>Assignments</w:t>
      </w:r>
    </w:p>
    <w:p w14:paraId="545A161E" w14:textId="5A13C5EA" w:rsidR="008E77B8" w:rsidRPr="008E77B8" w:rsidRDefault="008E77B8" w:rsidP="00D24DFD">
      <w:pPr>
        <w:pStyle w:val="Heading4"/>
      </w:pPr>
      <w:r w:rsidRPr="008E77B8">
        <w:t>The System shall have an intuitive capability</w:t>
      </w:r>
      <w:r w:rsidR="00D24DFD">
        <w:t xml:space="preserve"> for staff to build assessments </w:t>
      </w:r>
      <w:r w:rsidR="00D24DFD" w:rsidRPr="00D24DFD">
        <w:t>which allow a variety of file submission formats.</w:t>
      </w:r>
    </w:p>
    <w:p w14:paraId="1F0F70AB" w14:textId="77777777" w:rsidR="008E77B8" w:rsidRPr="008E77B8" w:rsidRDefault="008E77B8" w:rsidP="00296B59">
      <w:pPr>
        <w:pStyle w:val="Heading4"/>
      </w:pPr>
      <w:r w:rsidRPr="008E77B8">
        <w:t>Self and Peer Assessment should be supported. This should include the ability of the instructor to randomly assign peer marking within a cohort or across cohorts, specify which peer is to mark which student, and a combination of these in the same assigned review.</w:t>
      </w:r>
    </w:p>
    <w:p w14:paraId="2E620C97" w14:textId="77777777" w:rsidR="008E77B8" w:rsidRPr="008E77B8" w:rsidRDefault="008E77B8" w:rsidP="00296B59">
      <w:pPr>
        <w:pStyle w:val="Heading4"/>
      </w:pPr>
      <w:r w:rsidRPr="008E77B8">
        <w:t>Individual and group submission of assignments shall be available.</w:t>
      </w:r>
    </w:p>
    <w:p w14:paraId="0289C6BD" w14:textId="77777777" w:rsidR="008E77B8" w:rsidRPr="008E77B8" w:rsidRDefault="008E77B8" w:rsidP="00296B59">
      <w:pPr>
        <w:pStyle w:val="Heading4"/>
      </w:pPr>
      <w:r w:rsidRPr="008E77B8">
        <w:t>Students should be able to submit single or multiple files.</w:t>
      </w:r>
    </w:p>
    <w:p w14:paraId="7A99F7E1" w14:textId="77777777" w:rsidR="008E77B8" w:rsidRPr="008E77B8" w:rsidRDefault="008E77B8" w:rsidP="00296B59">
      <w:pPr>
        <w:pStyle w:val="Heading4"/>
      </w:pPr>
      <w:r w:rsidRPr="008E77B8">
        <w:t xml:space="preserve">Instructors should be able to allow students to resubmit assignments prior to the due date. </w:t>
      </w:r>
    </w:p>
    <w:p w14:paraId="7FC76DEB" w14:textId="77777777" w:rsidR="008E77B8" w:rsidRPr="008E77B8" w:rsidRDefault="008E77B8" w:rsidP="00296B59">
      <w:pPr>
        <w:pStyle w:val="Heading4"/>
      </w:pPr>
      <w:r w:rsidRPr="008E77B8">
        <w:t>Records of submissions should be exportable.</w:t>
      </w:r>
    </w:p>
    <w:p w14:paraId="20D0D8F8" w14:textId="77777777" w:rsidR="008E77B8" w:rsidRPr="008E77B8" w:rsidRDefault="008E77B8" w:rsidP="00296B59">
      <w:pPr>
        <w:pStyle w:val="Heading4"/>
        <w:rPr>
          <w:strike/>
        </w:rPr>
      </w:pPr>
      <w:r w:rsidRPr="008E77B8">
        <w:t>Receipt for student assignment submission.</w:t>
      </w:r>
    </w:p>
    <w:p w14:paraId="07205AAB" w14:textId="5375522E" w:rsidR="008E77B8" w:rsidRPr="008E77B8" w:rsidRDefault="008E77B8" w:rsidP="00296B59">
      <w:pPr>
        <w:pStyle w:val="Heading4"/>
      </w:pPr>
      <w:r w:rsidRPr="008E77B8">
        <w:t>Ins</w:t>
      </w:r>
      <w:r w:rsidR="00D24DFD">
        <w:t>tructors</w:t>
      </w:r>
      <w:r w:rsidRPr="008E77B8">
        <w:t xml:space="preserve"> should be able to specify exceptions for assignment submissions.</w:t>
      </w:r>
    </w:p>
    <w:p w14:paraId="7F430AEA" w14:textId="77777777" w:rsidR="008E77B8" w:rsidRPr="008E77B8" w:rsidRDefault="008E77B8" w:rsidP="008E77B8">
      <w:pPr>
        <w:numPr>
          <w:ilvl w:val="3"/>
          <w:numId w:val="1"/>
        </w:numPr>
        <w:tabs>
          <w:tab w:val="num" w:pos="1418"/>
        </w:tabs>
        <w:ind w:left="992" w:hanging="992"/>
        <w:outlineLvl w:val="3"/>
        <w:rPr>
          <w:kern w:val="24"/>
        </w:rPr>
      </w:pPr>
      <w:r w:rsidRPr="008E77B8">
        <w:rPr>
          <w:kern w:val="24"/>
        </w:rPr>
        <w:t>A log of all activity undertaken in the assignment workflow should be recorded. This would allow staff to access data on when, what and who submitted. Staff interaction with the assignment should also be recorded (who has left feedback, edited the grade, etc.).</w:t>
      </w:r>
    </w:p>
    <w:p w14:paraId="4A06A712" w14:textId="77777777" w:rsidR="008E77B8" w:rsidRPr="00296B59" w:rsidRDefault="008E77B8" w:rsidP="00296B59">
      <w:pPr>
        <w:pStyle w:val="Heading3"/>
        <w:rPr>
          <w:b/>
          <w:i/>
        </w:rPr>
      </w:pPr>
      <w:r w:rsidRPr="00296B59">
        <w:rPr>
          <w:b/>
          <w:i/>
        </w:rPr>
        <w:t>Tests, Quizzes and Surveys</w:t>
      </w:r>
    </w:p>
    <w:p w14:paraId="7C444550" w14:textId="77777777" w:rsidR="008E77B8" w:rsidRPr="008E77B8" w:rsidRDefault="008E77B8" w:rsidP="00296B59">
      <w:pPr>
        <w:pStyle w:val="SectionBodytext"/>
      </w:pPr>
      <w:r w:rsidRPr="008E77B8">
        <w:t>The VLE System shall contain a quiz creation tool. It shall have a number of question types</w:t>
      </w:r>
    </w:p>
    <w:p w14:paraId="6223FDDB" w14:textId="77777777" w:rsidR="008E77B8" w:rsidRPr="008E77B8" w:rsidRDefault="008E77B8" w:rsidP="00296B59">
      <w:pPr>
        <w:pStyle w:val="SectionBodytext"/>
      </w:pPr>
      <w:r w:rsidRPr="008E77B8">
        <w:t xml:space="preserve">and shall not rely on browser based plugins. A wide range of question types should be available, for example 5.2.2 below. </w:t>
      </w:r>
    </w:p>
    <w:p w14:paraId="19CE94B3" w14:textId="77777777" w:rsidR="008E77B8" w:rsidRPr="008E77B8" w:rsidRDefault="008E77B8" w:rsidP="00296B59">
      <w:pPr>
        <w:pStyle w:val="Heading4"/>
      </w:pPr>
      <w:r w:rsidRPr="008E77B8">
        <w:t>Ordering</w:t>
      </w:r>
    </w:p>
    <w:p w14:paraId="252B5E36" w14:textId="77777777" w:rsidR="008E77B8" w:rsidRPr="008E77B8" w:rsidRDefault="008E77B8" w:rsidP="00296B59">
      <w:pPr>
        <w:pStyle w:val="Heading4"/>
      </w:pPr>
      <w:r w:rsidRPr="008E77B8">
        <w:t>Multiple Choice</w:t>
      </w:r>
    </w:p>
    <w:p w14:paraId="0BCA0687" w14:textId="77777777" w:rsidR="008E77B8" w:rsidRPr="008E77B8" w:rsidRDefault="008E77B8" w:rsidP="00296B59">
      <w:pPr>
        <w:pStyle w:val="Heading4"/>
      </w:pPr>
      <w:r w:rsidRPr="008E77B8">
        <w:t>True or False</w:t>
      </w:r>
    </w:p>
    <w:p w14:paraId="60691267" w14:textId="77777777" w:rsidR="008E77B8" w:rsidRPr="008E77B8" w:rsidRDefault="008E77B8" w:rsidP="00296B59">
      <w:pPr>
        <w:pStyle w:val="Heading4"/>
      </w:pPr>
      <w:r w:rsidRPr="008E77B8">
        <w:t>Either/ Or</w:t>
      </w:r>
    </w:p>
    <w:p w14:paraId="39F3DD73" w14:textId="77777777" w:rsidR="008E77B8" w:rsidRPr="008E77B8" w:rsidRDefault="008E77B8" w:rsidP="00296B59">
      <w:pPr>
        <w:pStyle w:val="Heading4"/>
      </w:pPr>
      <w:r w:rsidRPr="008E77B8">
        <w:t xml:space="preserve">Calculated Formula </w:t>
      </w:r>
    </w:p>
    <w:p w14:paraId="5B834B0F" w14:textId="77777777" w:rsidR="008E77B8" w:rsidRPr="008E77B8" w:rsidRDefault="008E77B8" w:rsidP="00296B59">
      <w:pPr>
        <w:pStyle w:val="Heading4"/>
      </w:pPr>
      <w:r w:rsidRPr="008E77B8">
        <w:t>Calculated Numeric</w:t>
      </w:r>
    </w:p>
    <w:p w14:paraId="56E366D3" w14:textId="77777777" w:rsidR="008E77B8" w:rsidRPr="008E77B8" w:rsidRDefault="008E77B8" w:rsidP="00296B59">
      <w:pPr>
        <w:pStyle w:val="Heading4"/>
      </w:pPr>
      <w:r w:rsidRPr="008E77B8">
        <w:t>Matching (preferably by drag and drop)</w:t>
      </w:r>
    </w:p>
    <w:p w14:paraId="6CEC8777" w14:textId="77777777" w:rsidR="008E77B8" w:rsidRPr="008E77B8" w:rsidRDefault="008E77B8" w:rsidP="00296B59">
      <w:pPr>
        <w:pStyle w:val="Heading4"/>
      </w:pPr>
      <w:r w:rsidRPr="008E77B8">
        <w:t>Extended Matching Items (EMIs)</w:t>
      </w:r>
    </w:p>
    <w:p w14:paraId="4915BFC4" w14:textId="77777777" w:rsidR="008E77B8" w:rsidRPr="008E77B8" w:rsidRDefault="008E77B8" w:rsidP="00296B59">
      <w:pPr>
        <w:pStyle w:val="Heading4"/>
      </w:pPr>
      <w:r w:rsidRPr="008E77B8">
        <w:t>Jumbled Sentence</w:t>
      </w:r>
    </w:p>
    <w:p w14:paraId="626A8C75" w14:textId="77777777" w:rsidR="008E77B8" w:rsidRPr="008E77B8" w:rsidRDefault="008E77B8" w:rsidP="00296B59">
      <w:pPr>
        <w:pStyle w:val="Heading4"/>
      </w:pPr>
      <w:r w:rsidRPr="008E77B8">
        <w:t>Fill in the Blank/ Multiple Blanks</w:t>
      </w:r>
    </w:p>
    <w:p w14:paraId="2C9B3E92" w14:textId="77777777" w:rsidR="008E77B8" w:rsidRPr="008E77B8" w:rsidRDefault="008E77B8" w:rsidP="00296B59">
      <w:pPr>
        <w:pStyle w:val="Heading4"/>
      </w:pPr>
      <w:r w:rsidRPr="008E77B8">
        <w:t>Knowledge Matrix</w:t>
      </w:r>
    </w:p>
    <w:p w14:paraId="5ABC2740" w14:textId="77777777" w:rsidR="008E77B8" w:rsidRPr="008E77B8" w:rsidRDefault="008E77B8" w:rsidP="00296B59">
      <w:pPr>
        <w:pStyle w:val="Heading4"/>
      </w:pPr>
      <w:r w:rsidRPr="008E77B8">
        <w:t>Opinion Scale and Likert</w:t>
      </w:r>
    </w:p>
    <w:p w14:paraId="7F3AB5A3" w14:textId="77777777" w:rsidR="008E77B8" w:rsidRPr="008E77B8" w:rsidRDefault="008E77B8" w:rsidP="00296B59">
      <w:pPr>
        <w:pStyle w:val="Heading4"/>
      </w:pPr>
      <w:r w:rsidRPr="008E77B8">
        <w:t>Hot Spot</w:t>
      </w:r>
    </w:p>
    <w:p w14:paraId="0A5723EE" w14:textId="77777777" w:rsidR="008E77B8" w:rsidRPr="008E77B8" w:rsidRDefault="008E77B8" w:rsidP="00296B59">
      <w:pPr>
        <w:pStyle w:val="Heading4"/>
      </w:pPr>
      <w:r w:rsidRPr="008E77B8">
        <w:t>Essay</w:t>
      </w:r>
    </w:p>
    <w:p w14:paraId="4C0A22B9" w14:textId="77777777" w:rsidR="008E77B8" w:rsidRPr="008E77B8" w:rsidRDefault="008E77B8" w:rsidP="00296B59">
      <w:pPr>
        <w:pStyle w:val="Heading4"/>
      </w:pPr>
      <w:r w:rsidRPr="008E77B8">
        <w:t xml:space="preserve">Short Answer </w:t>
      </w:r>
    </w:p>
    <w:p w14:paraId="3BE2F510" w14:textId="77777777" w:rsidR="008E77B8" w:rsidRPr="008E77B8" w:rsidRDefault="008E77B8" w:rsidP="00296B59">
      <w:pPr>
        <w:pStyle w:val="Heading4"/>
      </w:pPr>
      <w:r w:rsidRPr="008E77B8">
        <w:t>File Response</w:t>
      </w:r>
    </w:p>
    <w:p w14:paraId="0CE04932" w14:textId="77777777" w:rsidR="008E77B8" w:rsidRPr="008E77B8" w:rsidRDefault="008E77B8" w:rsidP="00296B59">
      <w:pPr>
        <w:pStyle w:val="Heading4"/>
      </w:pPr>
      <w:r w:rsidRPr="008E77B8">
        <w:t xml:space="preserve">Surveys </w:t>
      </w:r>
    </w:p>
    <w:p w14:paraId="1364C99A" w14:textId="77777777" w:rsidR="008E77B8" w:rsidRPr="008E77B8" w:rsidRDefault="008E77B8" w:rsidP="00296B59">
      <w:pPr>
        <w:pStyle w:val="Heading4"/>
      </w:pPr>
      <w:r w:rsidRPr="008E77B8">
        <w:t>Multiple response formats (where more than one answer is correct)</w:t>
      </w:r>
    </w:p>
    <w:p w14:paraId="1C96C288" w14:textId="77777777" w:rsidR="008E77B8" w:rsidRPr="008E77B8" w:rsidRDefault="008E77B8" w:rsidP="00296B59">
      <w:pPr>
        <w:pStyle w:val="SectionBodytext"/>
      </w:pPr>
      <w:r w:rsidRPr="008E77B8">
        <w:t>The quiz creation tool should also have the following features:</w:t>
      </w:r>
    </w:p>
    <w:p w14:paraId="616C301A" w14:textId="628822D3" w:rsidR="008E77B8" w:rsidRDefault="008E77B8" w:rsidP="00296B59">
      <w:pPr>
        <w:pStyle w:val="Heading4"/>
      </w:pPr>
      <w:r w:rsidRPr="008E77B8">
        <w:t>Quiz questions should be sharable across courses.</w:t>
      </w:r>
    </w:p>
    <w:p w14:paraId="441486EF" w14:textId="77777777" w:rsidR="00C710BE" w:rsidRPr="00524A9C" w:rsidRDefault="00C710BE" w:rsidP="00C710BE">
      <w:pPr>
        <w:pStyle w:val="Heading4"/>
      </w:pPr>
      <w:r>
        <w:t xml:space="preserve">Capability to randomise selection of questions from a pool. </w:t>
      </w:r>
    </w:p>
    <w:p w14:paraId="1C419A2A" w14:textId="3C9BAAD3" w:rsidR="008E77B8" w:rsidRDefault="008E77B8" w:rsidP="00296B59">
      <w:pPr>
        <w:pStyle w:val="Heading4"/>
        <w:rPr>
          <w:color w:val="4F81BD" w:themeColor="accent1"/>
        </w:rPr>
      </w:pPr>
      <w:r w:rsidRPr="008E77B8">
        <w:t>Capability to randomise the question and answer</w:t>
      </w:r>
      <w:r w:rsidRPr="008E77B8">
        <w:rPr>
          <w:color w:val="FF0000"/>
        </w:rPr>
        <w:t xml:space="preserve"> </w:t>
      </w:r>
      <w:r w:rsidRPr="008E77B8">
        <w:t>order, also to restrict access to questions if previous question has been answered incorrectly.</w:t>
      </w:r>
      <w:r w:rsidRPr="008E77B8">
        <w:rPr>
          <w:color w:val="4F81BD" w:themeColor="accent1"/>
        </w:rPr>
        <w:t xml:space="preserve"> </w:t>
      </w:r>
    </w:p>
    <w:p w14:paraId="4A0DAA67" w14:textId="77777777" w:rsidR="008E77B8" w:rsidRPr="008E77B8" w:rsidRDefault="008E77B8" w:rsidP="00296B59">
      <w:pPr>
        <w:pStyle w:val="Heading4"/>
      </w:pPr>
      <w:r w:rsidRPr="008E77B8">
        <w:t>Capability to assign different scores/ weightings to different questions.</w:t>
      </w:r>
    </w:p>
    <w:p w14:paraId="094F1C6B" w14:textId="5331FEF6" w:rsidR="008E77B8" w:rsidRDefault="008E77B8" w:rsidP="00296B59">
      <w:pPr>
        <w:pStyle w:val="Heading4"/>
      </w:pPr>
      <w:r w:rsidRPr="008E77B8">
        <w:t>Capability to assign partial credit within a single question</w:t>
      </w:r>
      <w:r w:rsidR="00A77A90">
        <w:t>.</w:t>
      </w:r>
      <w:r w:rsidRPr="008E77B8">
        <w:t xml:space="preserve"> </w:t>
      </w:r>
    </w:p>
    <w:p w14:paraId="17557E29" w14:textId="77777777" w:rsidR="00787834" w:rsidRPr="008E77B8" w:rsidRDefault="00787834" w:rsidP="00787834">
      <w:pPr>
        <w:pStyle w:val="Heading4"/>
      </w:pPr>
      <w:r w:rsidRPr="008E77B8">
        <w:t>Capability to determine a deadline/ time limit (with exceptions for individual students or groups).</w:t>
      </w:r>
    </w:p>
    <w:p w14:paraId="6F9C2A84" w14:textId="48898B46" w:rsidR="00787834" w:rsidRPr="00BA6387" w:rsidRDefault="00787834" w:rsidP="00787834">
      <w:pPr>
        <w:pStyle w:val="Heading4"/>
      </w:pPr>
      <w:r w:rsidRPr="00BA6387">
        <w:t>Assessments delivered in a secure way which prevents students from accessing other websites or file directories during the performance of the test.</w:t>
      </w:r>
    </w:p>
    <w:p w14:paraId="5517F0FB" w14:textId="77777777" w:rsidR="00787834" w:rsidRPr="008E77B8" w:rsidRDefault="00787834" w:rsidP="00787834">
      <w:pPr>
        <w:pStyle w:val="Heading4"/>
      </w:pPr>
      <w:r w:rsidRPr="008E77B8">
        <w:t xml:space="preserve">Separate revision and assessment </w:t>
      </w:r>
      <w:r>
        <w:t>modes.</w:t>
      </w:r>
    </w:p>
    <w:p w14:paraId="400EF6D6" w14:textId="1AECCAD5" w:rsidR="00787834" w:rsidRPr="00787834" w:rsidRDefault="00787834" w:rsidP="00787834">
      <w:pPr>
        <w:pStyle w:val="Heading4"/>
      </w:pPr>
      <w:r w:rsidRPr="008E77B8">
        <w:t>Capability for staff to easily interrogate student performance in assignments and tests, both across the whole group and for individuals.  These interrogation tools should allow for the filtering or ordering of student performance, including for those yet to attempt /submit, plus the facility to email those students directly.</w:t>
      </w:r>
    </w:p>
    <w:p w14:paraId="556ED6A8" w14:textId="77777777" w:rsidR="008E77B8" w:rsidRPr="00296B59" w:rsidRDefault="008E77B8" w:rsidP="00296B59">
      <w:pPr>
        <w:pStyle w:val="Heading3"/>
        <w:rPr>
          <w:b/>
          <w:i/>
        </w:rPr>
      </w:pPr>
      <w:r w:rsidRPr="00296B59">
        <w:rPr>
          <w:b/>
          <w:i/>
        </w:rPr>
        <w:t>Marking and Feedback</w:t>
      </w:r>
    </w:p>
    <w:p w14:paraId="182DC253" w14:textId="77777777" w:rsidR="008E77B8" w:rsidRPr="008E77B8" w:rsidRDefault="008E77B8" w:rsidP="00296B59">
      <w:pPr>
        <w:pStyle w:val="SectionBodytext"/>
      </w:pPr>
      <w:r w:rsidRPr="008E77B8">
        <w:t>Capability is required for staff to mark assignments and provide relevant feedback.  The</w:t>
      </w:r>
    </w:p>
    <w:p w14:paraId="2E84B515" w14:textId="77777777" w:rsidR="008E77B8" w:rsidRPr="008E77B8" w:rsidRDefault="008E77B8" w:rsidP="00296B59">
      <w:pPr>
        <w:pStyle w:val="SectionBodytext"/>
      </w:pPr>
      <w:r w:rsidRPr="008E77B8">
        <w:t>System shall include, without limitation to, the functionality at 5.2.3 below:</w:t>
      </w:r>
    </w:p>
    <w:p w14:paraId="4C62C6C8" w14:textId="38398834" w:rsidR="00787834" w:rsidRDefault="00787834" w:rsidP="00787834">
      <w:pPr>
        <w:pStyle w:val="Heading4"/>
      </w:pPr>
      <w:r w:rsidRPr="00787834">
        <w:t>Capability to customise the grading schema.</w:t>
      </w:r>
    </w:p>
    <w:p w14:paraId="70125AB4" w14:textId="77777777" w:rsidR="00787834" w:rsidRPr="008E77B8" w:rsidRDefault="00787834" w:rsidP="00787834">
      <w:pPr>
        <w:pStyle w:val="Heading4"/>
      </w:pPr>
      <w:r w:rsidRPr="008E77B8">
        <w:t>A feedback template may be linked to scripts within the System, with grids/grading forms/rubrics for feedback (both numerical and non-numerical).</w:t>
      </w:r>
    </w:p>
    <w:p w14:paraId="122B0AC9" w14:textId="6D58110F" w:rsidR="00787834" w:rsidRPr="00787834" w:rsidRDefault="00787834" w:rsidP="00787834">
      <w:pPr>
        <w:pStyle w:val="Heading4"/>
      </w:pPr>
      <w:r w:rsidRPr="008E77B8">
        <w:t>Feedback template (sections to be completed) and script can be displayed on the same screen view within System.</w:t>
      </w:r>
    </w:p>
    <w:p w14:paraId="72E472F5" w14:textId="7568A5D9" w:rsidR="00787834" w:rsidRDefault="00787834" w:rsidP="00787834">
      <w:pPr>
        <w:pStyle w:val="Heading4"/>
      </w:pPr>
      <w:r w:rsidRPr="00787834">
        <w:t>Capability to determine weightings for different components of a course.</w:t>
      </w:r>
    </w:p>
    <w:p w14:paraId="3423B2AF" w14:textId="4EF6F366" w:rsidR="008E77B8" w:rsidRPr="008E77B8" w:rsidRDefault="008E77B8" w:rsidP="00296B59">
      <w:pPr>
        <w:pStyle w:val="Heading4"/>
      </w:pPr>
      <w:r w:rsidRPr="008E77B8">
        <w:t xml:space="preserve">Enable staff to mark assignments with the option of a) student anonymity or b) named student. </w:t>
      </w:r>
    </w:p>
    <w:p w14:paraId="588AA50F" w14:textId="77777777" w:rsidR="008E77B8" w:rsidRPr="008E77B8" w:rsidRDefault="008E77B8" w:rsidP="00296B59">
      <w:pPr>
        <w:pStyle w:val="Heading4"/>
      </w:pPr>
      <w:r w:rsidRPr="008E77B8">
        <w:t>A marker’s identification on scripts or feedback templates may be withheld, depending on departmental anonymity policy.</w:t>
      </w:r>
    </w:p>
    <w:p w14:paraId="1F8172B6" w14:textId="77777777" w:rsidR="00662269" w:rsidRDefault="008E77B8" w:rsidP="00296B59">
      <w:pPr>
        <w:pStyle w:val="Heading4"/>
      </w:pPr>
      <w:r w:rsidRPr="008E77B8">
        <w:t>Multiple markers (1st/2nd/3rd marker &amp; moderator) may be associated with an in</w:t>
      </w:r>
      <w:r w:rsidR="00662269">
        <w:t>dividual assessment script.</w:t>
      </w:r>
    </w:p>
    <w:p w14:paraId="2D4C18A3" w14:textId="7765B5AA" w:rsidR="008E77B8" w:rsidRDefault="00662269" w:rsidP="00296B59">
      <w:pPr>
        <w:pStyle w:val="Heading4"/>
      </w:pPr>
      <w:r>
        <w:t>D</w:t>
      </w:r>
      <w:r w:rsidR="008E77B8" w:rsidRPr="008E77B8">
        <w:t>ifferent marking scenarios</w:t>
      </w:r>
      <w:r>
        <w:t xml:space="preserve">, including groups and random allocation of submissions, </w:t>
      </w:r>
      <w:r w:rsidR="008E77B8" w:rsidRPr="008E77B8">
        <w:t>can be configured.</w:t>
      </w:r>
    </w:p>
    <w:p w14:paraId="13F74501" w14:textId="7B55B494" w:rsidR="00787834" w:rsidRPr="00787834" w:rsidRDefault="00787834" w:rsidP="00787834">
      <w:pPr>
        <w:pStyle w:val="Heading4"/>
      </w:pPr>
      <w:r w:rsidRPr="008E77B8">
        <w:t xml:space="preserve">There is scope for markers to record comments for viewing by other markers. </w:t>
      </w:r>
    </w:p>
    <w:p w14:paraId="64330B0E" w14:textId="77777777" w:rsidR="00787834" w:rsidRPr="008E77B8" w:rsidRDefault="00787834" w:rsidP="00787834">
      <w:pPr>
        <w:pStyle w:val="Heading4"/>
      </w:pPr>
      <w:r w:rsidRPr="008E77B8">
        <w:t xml:space="preserve">Access to a bank of shared staff comments for marking.  </w:t>
      </w:r>
    </w:p>
    <w:p w14:paraId="0246E985" w14:textId="77777777" w:rsidR="00787834" w:rsidRPr="008E77B8" w:rsidRDefault="00787834" w:rsidP="00787834">
      <w:pPr>
        <w:pStyle w:val="Heading4"/>
      </w:pPr>
      <w:r w:rsidRPr="008E77B8">
        <w:t>For peer marking: Blind peer review and open reviews should both be supported.</w:t>
      </w:r>
    </w:p>
    <w:p w14:paraId="01182D77" w14:textId="77777777" w:rsidR="00EA2F1A" w:rsidRPr="008E77B8" w:rsidRDefault="00EA2F1A" w:rsidP="00EA2F1A">
      <w:pPr>
        <w:pStyle w:val="Heading4"/>
      </w:pPr>
      <w:r w:rsidRPr="008E77B8">
        <w:t>Feedback from instructors should be supported by text, annotated files, audio and video.</w:t>
      </w:r>
    </w:p>
    <w:p w14:paraId="081BF733" w14:textId="77777777" w:rsidR="00EA2F1A" w:rsidRPr="008E77B8" w:rsidRDefault="00EA2F1A" w:rsidP="00EA2F1A">
      <w:pPr>
        <w:pStyle w:val="Heading4"/>
      </w:pPr>
      <w:r w:rsidRPr="008E77B8">
        <w:t>Staff should be able to mark using a range of mobile devices, including tablets, by leaving text comments, audio comments and speech recognition comments.</w:t>
      </w:r>
    </w:p>
    <w:p w14:paraId="5B59ECC5" w14:textId="1EFAEF0B" w:rsidR="008E77B8" w:rsidRPr="008E77B8" w:rsidRDefault="008E77B8" w:rsidP="00296B59">
      <w:pPr>
        <w:pStyle w:val="Heading4"/>
      </w:pPr>
      <w:r w:rsidRPr="008E77B8">
        <w:t xml:space="preserve">A facility to collect and collate marks awarded for online and offline assessments.  </w:t>
      </w:r>
    </w:p>
    <w:p w14:paraId="7720378B" w14:textId="23C3C058" w:rsidR="008E77B8" w:rsidRPr="008E77B8" w:rsidRDefault="008E77B8" w:rsidP="00296B59">
      <w:pPr>
        <w:pStyle w:val="Heading4"/>
      </w:pPr>
      <w:r w:rsidRPr="008E77B8">
        <w:t xml:space="preserve">Markers should be able to annotate </w:t>
      </w:r>
      <w:r w:rsidR="001B659C">
        <w:t>assignments</w:t>
      </w:r>
      <w:r w:rsidRPr="008E77B8">
        <w:t xml:space="preserve"> online.</w:t>
      </w:r>
    </w:p>
    <w:p w14:paraId="29FFB566" w14:textId="7B52E033" w:rsidR="008E77B8" w:rsidRPr="008E77B8" w:rsidRDefault="001B659C" w:rsidP="001B659C">
      <w:pPr>
        <w:pStyle w:val="Heading4"/>
      </w:pPr>
      <w:r>
        <w:t xml:space="preserve">Markers should be able to annotate assignments offline. </w:t>
      </w:r>
      <w:r w:rsidRPr="008E77B8">
        <w:t>Capability to support and s</w:t>
      </w:r>
      <w:r>
        <w:t>ync offline marking</w:t>
      </w:r>
      <w:r w:rsidRPr="008E77B8">
        <w:t xml:space="preserve">.  </w:t>
      </w:r>
    </w:p>
    <w:p w14:paraId="11572AEE" w14:textId="77777777" w:rsidR="008E77B8" w:rsidRPr="008E77B8" w:rsidRDefault="008E77B8" w:rsidP="00296B59">
      <w:pPr>
        <w:pStyle w:val="Heading4"/>
      </w:pPr>
      <w:r w:rsidRPr="008E77B8">
        <w:t>Version control built into the System, in order that a marked-up file will be different from the original file submitted to the System.</w:t>
      </w:r>
    </w:p>
    <w:p w14:paraId="23AE61A9" w14:textId="77777777" w:rsidR="00EA2F1A" w:rsidRPr="008E77B8" w:rsidRDefault="00EA2F1A" w:rsidP="00EA2F1A">
      <w:pPr>
        <w:pStyle w:val="Heading4"/>
      </w:pPr>
      <w:r w:rsidRPr="008E77B8">
        <w:t xml:space="preserve">Batch upload of marks and feedback scored by offline marking, for individuals and groups, to the System.  </w:t>
      </w:r>
    </w:p>
    <w:p w14:paraId="5761B467" w14:textId="34E09972" w:rsidR="008E77B8" w:rsidRPr="008E77B8" w:rsidRDefault="00662269" w:rsidP="00296B59">
      <w:pPr>
        <w:pStyle w:val="Heading4"/>
      </w:pPr>
      <w:r>
        <w:t>C</w:t>
      </w:r>
      <w:r w:rsidR="008E77B8" w:rsidRPr="008E77B8">
        <w:t>ontent generated from learning journals or blogs, forums, wikis and any other communication and collaboration tools</w:t>
      </w:r>
      <w:r w:rsidR="00EA2F1A">
        <w:t xml:space="preserve"> should be gradable and</w:t>
      </w:r>
      <w:r w:rsidR="008E77B8" w:rsidRPr="008E77B8">
        <w:t xml:space="preserve"> may be processed by staff through the use of grading and feedback tools</w:t>
      </w:r>
      <w:r>
        <w:t>. Marks</w:t>
      </w:r>
      <w:r w:rsidR="008E77B8" w:rsidRPr="008E77B8">
        <w:t xml:space="preserve"> and feedback </w:t>
      </w:r>
      <w:r>
        <w:t xml:space="preserve">should be </w:t>
      </w:r>
      <w:r w:rsidR="008E77B8" w:rsidRPr="008E77B8">
        <w:t>stored within the central grading repository.</w:t>
      </w:r>
    </w:p>
    <w:p w14:paraId="58A908A1" w14:textId="6CCA72F6" w:rsidR="001B659C" w:rsidRDefault="001B659C" w:rsidP="001B659C">
      <w:pPr>
        <w:pStyle w:val="Heading4"/>
      </w:pPr>
      <w:r w:rsidRPr="001B659C">
        <w:t xml:space="preserve">Staff </w:t>
      </w:r>
      <w:r>
        <w:t>should be able to</w:t>
      </w:r>
      <w:r w:rsidRPr="001B659C">
        <w:t xml:space="preserve"> easily identify and target students who have not yet submitted, or completed</w:t>
      </w:r>
      <w:r>
        <w:t>,</w:t>
      </w:r>
      <w:r w:rsidRPr="001B659C">
        <w:t xml:space="preserve"> an assessment and send an alert.   </w:t>
      </w:r>
    </w:p>
    <w:p w14:paraId="5A52AC5B" w14:textId="35B0BF56" w:rsidR="008E77B8" w:rsidRPr="008E77B8" w:rsidRDefault="008E77B8" w:rsidP="00296B59">
      <w:pPr>
        <w:pStyle w:val="Heading4"/>
      </w:pPr>
      <w:r w:rsidRPr="008E77B8">
        <w:t>Reminder capabilities should also be possible for assessments which require an anonymous submission.</w:t>
      </w:r>
    </w:p>
    <w:p w14:paraId="30AB1034" w14:textId="6105D998" w:rsidR="008E77B8" w:rsidRPr="008E77B8" w:rsidRDefault="008E77B8" w:rsidP="00296B59">
      <w:pPr>
        <w:pStyle w:val="Heading4"/>
      </w:pPr>
      <w:r w:rsidRPr="008E77B8">
        <w:t>Scope to record</w:t>
      </w:r>
      <w:r w:rsidR="001B659C">
        <w:t xml:space="preserve"> and process</w:t>
      </w:r>
      <w:r w:rsidRPr="008E77B8">
        <w:t xml:space="preserve"> extenuating circumstances – e.g. reasons for late submission etc.</w:t>
      </w:r>
    </w:p>
    <w:p w14:paraId="171CF591" w14:textId="77777777" w:rsidR="008E77B8" w:rsidRPr="008E77B8" w:rsidRDefault="008E77B8" w:rsidP="00296B59">
      <w:pPr>
        <w:pStyle w:val="Heading4"/>
      </w:pPr>
      <w:r w:rsidRPr="008E77B8">
        <w:t>Capability to record general comments on performance of cohort in assessment, to be viewed by all students, including an outline of model answers.</w:t>
      </w:r>
    </w:p>
    <w:p w14:paraId="4D056B08" w14:textId="2AD7CD5D" w:rsidR="008E77B8" w:rsidRPr="00216F8D" w:rsidRDefault="008E77B8" w:rsidP="00296B59">
      <w:pPr>
        <w:pStyle w:val="Heading4"/>
      </w:pPr>
      <w:r w:rsidRPr="008E77B8">
        <w:t>Release of marks should be flexible (i.e. reveal to all students at the same time or to individual students, or force students to review feedback prior to grade release</w:t>
      </w:r>
      <w:r w:rsidRPr="008E77B8">
        <w:rPr>
          <w:color w:val="4F81BD" w:themeColor="accent1"/>
        </w:rPr>
        <w:t xml:space="preserve"> </w:t>
      </w:r>
      <w:r w:rsidRPr="00216F8D">
        <w:t>– as required by the instructor).</w:t>
      </w:r>
    </w:p>
    <w:p w14:paraId="33EE2D58" w14:textId="60DC8221" w:rsidR="00EA2F1A" w:rsidRPr="00216F8D" w:rsidRDefault="00EA2F1A" w:rsidP="00EA2F1A">
      <w:pPr>
        <w:pStyle w:val="Heading4"/>
      </w:pPr>
      <w:r w:rsidRPr="00216F8D">
        <w:t>A Reconciliation process for a multiple marking workflow allows a user to review grade or score and feedback and select what will be visible to the student.</w:t>
      </w:r>
    </w:p>
    <w:p w14:paraId="63E7E3F3" w14:textId="47B0A5BD" w:rsidR="008E77B8" w:rsidRPr="008E77B8" w:rsidRDefault="008E77B8" w:rsidP="001B659C">
      <w:pPr>
        <w:pStyle w:val="Heading4"/>
      </w:pPr>
      <w:r w:rsidRPr="008E77B8">
        <w:t>Grades should be accessible via the individual assignment or assessed activity, e.g. clicking on the title or link to an assignment should allow the instructor to view the submissions, results and responses to that assignment.</w:t>
      </w:r>
      <w:r w:rsidR="001B659C">
        <w:t xml:space="preserve"> </w:t>
      </w:r>
      <w:r w:rsidR="001B659C" w:rsidRPr="001B659C">
        <w:t>No need to go to the central mark</w:t>
      </w:r>
      <w:r w:rsidR="00AF5F37">
        <w:t xml:space="preserve"> </w:t>
      </w:r>
      <w:r w:rsidR="001B659C" w:rsidRPr="001B659C">
        <w:t>book.</w:t>
      </w:r>
    </w:p>
    <w:p w14:paraId="5220DD82" w14:textId="77777777" w:rsidR="008E77B8" w:rsidRPr="008E77B8" w:rsidRDefault="008E77B8" w:rsidP="00296B59">
      <w:pPr>
        <w:pStyle w:val="Heading4"/>
      </w:pPr>
      <w:r w:rsidRPr="008E77B8">
        <w:t xml:space="preserve">Students should have a view/profile page allowing them to see all their marks in one place.  </w:t>
      </w:r>
    </w:p>
    <w:p w14:paraId="51DEA435" w14:textId="77777777" w:rsidR="008E77B8" w:rsidRPr="008E77B8" w:rsidRDefault="008E77B8" w:rsidP="00296B59">
      <w:pPr>
        <w:pStyle w:val="Heading4"/>
      </w:pPr>
      <w:r w:rsidRPr="008E77B8">
        <w:t xml:space="preserve">The System should provide opportunities for students to comment on feedback received.  </w:t>
      </w:r>
    </w:p>
    <w:p w14:paraId="7D784A8E" w14:textId="77777777" w:rsidR="008E77B8" w:rsidRPr="008E77B8" w:rsidRDefault="008E77B8" w:rsidP="00296B59">
      <w:pPr>
        <w:pStyle w:val="Heading4"/>
      </w:pPr>
      <w:r w:rsidRPr="008E77B8">
        <w:t>Capability for rubric feedback to be viewed without a score.</w:t>
      </w:r>
    </w:p>
    <w:p w14:paraId="15D83526" w14:textId="77777777" w:rsidR="008E77B8" w:rsidRPr="008E77B8" w:rsidRDefault="008E77B8" w:rsidP="00296B59">
      <w:pPr>
        <w:pStyle w:val="Heading4"/>
      </w:pPr>
      <w:r w:rsidRPr="008E77B8">
        <w:t xml:space="preserve">The System should be capable of generating a range of relevant reports and statistics on assessments/assignments.  As a minimum the reporting capability should include grade distribution statistics.  Further desirable reporting capabilities include: Grade Average; Max Min and Median.   </w:t>
      </w:r>
    </w:p>
    <w:p w14:paraId="227BB472" w14:textId="77777777" w:rsidR="008E77B8" w:rsidRPr="00296B59" w:rsidRDefault="008E77B8" w:rsidP="00296B59">
      <w:pPr>
        <w:pStyle w:val="Heading2"/>
        <w:rPr>
          <w:b/>
        </w:rPr>
      </w:pPr>
      <w:r w:rsidRPr="00296B59">
        <w:rPr>
          <w:b/>
        </w:rPr>
        <w:t>Communication and Collaboration</w:t>
      </w:r>
    </w:p>
    <w:p w14:paraId="7EC63162" w14:textId="77777777" w:rsidR="008E77B8" w:rsidRPr="008E77B8" w:rsidRDefault="008E77B8" w:rsidP="00296B59">
      <w:pPr>
        <w:pStyle w:val="SectionBodytext"/>
      </w:pPr>
      <w:r w:rsidRPr="008E77B8">
        <w:t>The Contractor should provide a System which includes, without limitation to, the capabilities within section 5.3 below:</w:t>
      </w:r>
    </w:p>
    <w:p w14:paraId="22A2D5FC" w14:textId="3776EC8D" w:rsidR="00EA2F1A" w:rsidRDefault="00EA2F1A" w:rsidP="00296B59">
      <w:pPr>
        <w:pStyle w:val="Heading3"/>
      </w:pPr>
      <w:r>
        <w:t xml:space="preserve">Discussion boards support audio and video. </w:t>
      </w:r>
    </w:p>
    <w:p w14:paraId="792EF17A" w14:textId="43F17F06" w:rsidR="008E77B8" w:rsidRPr="008E77B8" w:rsidRDefault="008E77B8" w:rsidP="00296B59">
      <w:pPr>
        <w:pStyle w:val="Heading3"/>
      </w:pPr>
      <w:r w:rsidRPr="008E77B8">
        <w:t>Facilities for the creation of blogs / journals for individual, small group and whole cohort based activities are required.</w:t>
      </w:r>
    </w:p>
    <w:p w14:paraId="18F2C7F7" w14:textId="77777777" w:rsidR="008E77B8" w:rsidRPr="008E77B8" w:rsidRDefault="008E77B8" w:rsidP="00296B59">
      <w:pPr>
        <w:pStyle w:val="Heading3"/>
      </w:pPr>
      <w:r w:rsidRPr="008E77B8">
        <w:t>Wiki tools which allow staff to easily track and assess student activity within a wiki space.</w:t>
      </w:r>
    </w:p>
    <w:p w14:paraId="34EDFEE9" w14:textId="77777777" w:rsidR="008E77B8" w:rsidRPr="008E77B8" w:rsidRDefault="008E77B8" w:rsidP="00296B59">
      <w:pPr>
        <w:pStyle w:val="Heading3"/>
      </w:pPr>
      <w:r w:rsidRPr="008E77B8">
        <w:t xml:space="preserve">A calendar which is RFC5545 compliant and should be exportable to iCal, or an equivalent subscription calendar service.  It should be possible to both import and export from the calendar.  </w:t>
      </w:r>
    </w:p>
    <w:p w14:paraId="2959029E" w14:textId="77B9B278" w:rsidR="008E77B8" w:rsidRPr="008E77B8" w:rsidRDefault="008E77B8" w:rsidP="00296B59">
      <w:pPr>
        <w:pStyle w:val="Heading3"/>
      </w:pPr>
      <w:r w:rsidRPr="008E77B8">
        <w:t xml:space="preserve">The System should accommodate an externally facing e-portfolio viewable from the internet. </w:t>
      </w:r>
    </w:p>
    <w:p w14:paraId="0D1DE5B8" w14:textId="7138982B" w:rsidR="008E77B8" w:rsidRDefault="008E77B8" w:rsidP="00296B59">
      <w:pPr>
        <w:pStyle w:val="Heading3"/>
      </w:pPr>
      <w:r w:rsidRPr="008E77B8">
        <w:t>The System should accommodate a web conferencing facility, including a facility for recording and archiving conferencing sessions.  This may be a core part of the VLE System or a fully integrated third party solution providing equivalent service capability.</w:t>
      </w:r>
      <w:r w:rsidR="0048717E">
        <w:t xml:space="preserve"> </w:t>
      </w:r>
    </w:p>
    <w:p w14:paraId="5404CD29" w14:textId="4934ACEC" w:rsidR="00A46B18" w:rsidRPr="00A46B18" w:rsidRDefault="00226ABE" w:rsidP="00A46B18">
      <w:pPr>
        <w:pStyle w:val="Heading3"/>
      </w:pPr>
      <w:r w:rsidRPr="00CD04BF">
        <w:t>P</w:t>
      </w:r>
      <w:r w:rsidR="00A46B18" w:rsidRPr="00CD04BF">
        <w:t>roposed web conferencing fac</w:t>
      </w:r>
      <w:r w:rsidRPr="00CD04BF">
        <w:t>ilities should</w:t>
      </w:r>
      <w:r w:rsidR="00A46B18" w:rsidRPr="00CD04BF">
        <w:t xml:space="preserve"> include capability for break-out rooms and polling.</w:t>
      </w:r>
      <w:r w:rsidR="00A46B18">
        <w:t xml:space="preserve">  </w:t>
      </w:r>
    </w:p>
    <w:p w14:paraId="4F026ABB" w14:textId="77777777" w:rsidR="008E77B8" w:rsidRPr="008E77B8" w:rsidRDefault="008E77B8" w:rsidP="00296B59">
      <w:pPr>
        <w:pStyle w:val="Heading3"/>
      </w:pPr>
      <w:r w:rsidRPr="008E77B8">
        <w:t>The System should enable instant messaging.  Students should be able to view and contact others who are online and be able to hide their status from others.</w:t>
      </w:r>
    </w:p>
    <w:p w14:paraId="0615FC7A" w14:textId="0A3CAD7E" w:rsidR="00E61115" w:rsidRDefault="006B76E7" w:rsidP="00E61115">
      <w:pPr>
        <w:pStyle w:val="Heading3"/>
      </w:pPr>
      <w:r>
        <w:t>The System should have an Online C</w:t>
      </w:r>
      <w:r w:rsidR="008E77B8" w:rsidRPr="008E77B8">
        <w:t>ommunity</w:t>
      </w:r>
      <w:r w:rsidR="00052DD5">
        <w:t xml:space="preserve"> space</w:t>
      </w:r>
      <w:r w:rsidR="008E77B8" w:rsidRPr="008E77B8">
        <w:t xml:space="preserve"> </w:t>
      </w:r>
      <w:r w:rsidR="00E61115">
        <w:t>for non-</w:t>
      </w:r>
      <w:r w:rsidR="00E61115" w:rsidRPr="00E61115">
        <w:t xml:space="preserve">assessed activity. </w:t>
      </w:r>
    </w:p>
    <w:p w14:paraId="72D4489F" w14:textId="5A4BF6E9" w:rsidR="008E77B8" w:rsidRDefault="00E61115" w:rsidP="00E61115">
      <w:pPr>
        <w:pStyle w:val="Heading3"/>
      </w:pPr>
      <w:r>
        <w:t xml:space="preserve">The System should accommodate </w:t>
      </w:r>
      <w:r w:rsidR="008E77B8" w:rsidRPr="008E77B8">
        <w:t xml:space="preserve">a repository where staff can upload resources with a variety of shared permission levels.  This requirement could be delivered either from the VLE System core functionality or through integration with a third party content management solution.  </w:t>
      </w:r>
    </w:p>
    <w:p w14:paraId="2F4C2B8D" w14:textId="38DEE31C" w:rsidR="00EA2F1A" w:rsidRPr="00EA2F1A" w:rsidRDefault="00EA2F1A" w:rsidP="00EA2F1A">
      <w:pPr>
        <w:pStyle w:val="Heading3"/>
      </w:pPr>
      <w:r w:rsidRPr="008E77B8">
        <w:t xml:space="preserve">Students should have the ability to specify their preferred means of contact, including via major social media channels and to have more than one email account which receives emails from the System. This flexibility should be configurable by individual institutional preferences. </w:t>
      </w:r>
    </w:p>
    <w:p w14:paraId="090C60A8" w14:textId="6B6457E1" w:rsidR="008E77B8" w:rsidRPr="008E77B8" w:rsidRDefault="008E77B8" w:rsidP="00296B59">
      <w:pPr>
        <w:pStyle w:val="Heading3"/>
      </w:pPr>
      <w:r w:rsidRPr="008E77B8">
        <w:t>An Audit trail of communications should be available to investigate disputes/ inappropriate messages (configurable to individual institutions). The System should log what\who\when an email was sent.</w:t>
      </w:r>
    </w:p>
    <w:p w14:paraId="1FD030F6" w14:textId="77777777" w:rsidR="008E77B8" w:rsidRPr="00296B59" w:rsidRDefault="008E77B8" w:rsidP="00296B59">
      <w:pPr>
        <w:pStyle w:val="Heading3"/>
        <w:rPr>
          <w:b/>
          <w:i/>
        </w:rPr>
      </w:pPr>
      <w:r w:rsidRPr="00296B59">
        <w:rPr>
          <w:b/>
          <w:i/>
        </w:rPr>
        <w:t>Announcements, Emails and Messages</w:t>
      </w:r>
    </w:p>
    <w:p w14:paraId="10F317D9" w14:textId="77777777" w:rsidR="008E77B8" w:rsidRPr="008E77B8" w:rsidRDefault="008E77B8" w:rsidP="00296B59">
      <w:pPr>
        <w:pStyle w:val="SectionBodytext"/>
      </w:pPr>
      <w:r w:rsidRPr="008E77B8">
        <w:t>The System shall enable administrators to send:</w:t>
      </w:r>
    </w:p>
    <w:p w14:paraId="58E6A870" w14:textId="5487B3C1" w:rsidR="008E77B8" w:rsidRDefault="008E77B8" w:rsidP="00296B59">
      <w:pPr>
        <w:pStyle w:val="Heading4"/>
      </w:pPr>
      <w:r w:rsidRPr="008E77B8">
        <w:t>Institutional announcements.</w:t>
      </w:r>
    </w:p>
    <w:p w14:paraId="17A37873" w14:textId="77777777" w:rsidR="00E61115" w:rsidRPr="00E61115" w:rsidRDefault="00E61115" w:rsidP="00E61115">
      <w:pPr>
        <w:pStyle w:val="Heading4"/>
      </w:pPr>
      <w:r w:rsidRPr="00E61115">
        <w:t>Messages to everyone in the System; all staff; all students/everyone on a course; a group of people on a course; an individual student.</w:t>
      </w:r>
    </w:p>
    <w:p w14:paraId="75508FCB" w14:textId="6DA34C05" w:rsidR="00E61115" w:rsidRDefault="00E61115" w:rsidP="00E61115">
      <w:pPr>
        <w:pStyle w:val="Heading4"/>
      </w:pPr>
      <w:r w:rsidRPr="00E61115">
        <w:t>Emails to everyone in the System; all staff; all students/everyone on a course; a group of people on a course/ an individual student.</w:t>
      </w:r>
    </w:p>
    <w:p w14:paraId="2CA852A7" w14:textId="6F2AFD41" w:rsidR="00E61115" w:rsidRPr="00E61115" w:rsidRDefault="00E61115" w:rsidP="00E61115">
      <w:pPr>
        <w:pStyle w:val="Heading4"/>
      </w:pPr>
      <w:r w:rsidRPr="00E61115">
        <w:t xml:space="preserve">Email/text message to students attending a specific teaching event. </w:t>
      </w:r>
    </w:p>
    <w:p w14:paraId="3A3B5037" w14:textId="0EBBBE9B" w:rsidR="00E61115" w:rsidRPr="00E61115" w:rsidRDefault="00E61115" w:rsidP="00E61115">
      <w:r w:rsidRPr="00E61115">
        <w:t xml:space="preserve">The System shall enable </w:t>
      </w:r>
      <w:r>
        <w:t>teaching staff to send:</w:t>
      </w:r>
    </w:p>
    <w:p w14:paraId="23D8AAE7" w14:textId="6A88E004" w:rsidR="008E77B8" w:rsidRDefault="008E77B8" w:rsidP="00296B59">
      <w:pPr>
        <w:pStyle w:val="Heading4"/>
      </w:pPr>
      <w:r w:rsidRPr="008E77B8">
        <w:t>Course level announcements.</w:t>
      </w:r>
    </w:p>
    <w:p w14:paraId="6D053264" w14:textId="77777777" w:rsidR="00E61115" w:rsidRPr="00E61115" w:rsidRDefault="00E61115" w:rsidP="00E61115">
      <w:pPr>
        <w:pStyle w:val="Heading4"/>
      </w:pPr>
      <w:r w:rsidRPr="00E61115">
        <w:t>Messages to everyone in the System; all staff; all students/everyone on a course; a group of people on a course; an individual student.</w:t>
      </w:r>
    </w:p>
    <w:p w14:paraId="2006FA8F" w14:textId="7FBDFD3D" w:rsidR="00E61115" w:rsidRPr="00E61115" w:rsidRDefault="00E61115" w:rsidP="00E61115">
      <w:pPr>
        <w:pStyle w:val="Heading4"/>
      </w:pPr>
      <w:r w:rsidRPr="00E61115">
        <w:t>Emails to everyone in the System; all staff; all students/everyone on a course; a group of people on a course/ an individual student.</w:t>
      </w:r>
    </w:p>
    <w:p w14:paraId="6E580CD4" w14:textId="77777777" w:rsidR="008E77B8" w:rsidRPr="00296B59" w:rsidRDefault="008E77B8" w:rsidP="00296B59">
      <w:pPr>
        <w:pStyle w:val="Heading3"/>
        <w:rPr>
          <w:b/>
          <w:i/>
        </w:rPr>
      </w:pPr>
      <w:r w:rsidRPr="00296B59">
        <w:rPr>
          <w:b/>
          <w:i/>
        </w:rPr>
        <w:t>Notifications</w:t>
      </w:r>
    </w:p>
    <w:p w14:paraId="42F12663" w14:textId="77777777" w:rsidR="008E77B8" w:rsidRPr="008E77B8" w:rsidRDefault="008E77B8" w:rsidP="002238E9">
      <w:pPr>
        <w:pStyle w:val="SectionBodytext"/>
      </w:pPr>
      <w:r w:rsidRPr="008E77B8">
        <w:t>The System shall enable administrators to:</w:t>
      </w:r>
    </w:p>
    <w:p w14:paraId="385A8A18" w14:textId="77777777" w:rsidR="008E77B8" w:rsidRPr="008E77B8" w:rsidRDefault="008E77B8" w:rsidP="002238E9">
      <w:pPr>
        <w:pStyle w:val="Heading4"/>
      </w:pPr>
      <w:r w:rsidRPr="008E77B8">
        <w:t>Set institutional default notifications that cannot be turned off, e.g. a new announcement, due date for an assignment, grading of submission required.</w:t>
      </w:r>
    </w:p>
    <w:p w14:paraId="0470844D" w14:textId="77777777" w:rsidR="008E77B8" w:rsidRPr="008E77B8" w:rsidRDefault="008E77B8" w:rsidP="002238E9">
      <w:pPr>
        <w:pStyle w:val="Heading4"/>
      </w:pPr>
      <w:r w:rsidRPr="008E77B8">
        <w:t>Set course level notifications, e.g. new content, such as a file or new discussion thread, has been added to an area.</w:t>
      </w:r>
    </w:p>
    <w:p w14:paraId="6B903FAF" w14:textId="3BE99E04" w:rsidR="008E77B8" w:rsidRPr="008E77B8" w:rsidRDefault="008E77B8" w:rsidP="002238E9">
      <w:pPr>
        <w:pStyle w:val="Heading4"/>
      </w:pPr>
      <w:r w:rsidRPr="008E77B8">
        <w:t>Users should be able to choose which notification</w:t>
      </w:r>
      <w:r w:rsidR="00906F8B">
        <w:t>s</w:t>
      </w:r>
      <w:r w:rsidRPr="008E77B8">
        <w:t xml:space="preserve"> they receive and the method(s) of delivery, e.g. dashboard, email, mobile app.</w:t>
      </w:r>
    </w:p>
    <w:p w14:paraId="17E801E1" w14:textId="77777777" w:rsidR="008E77B8" w:rsidRPr="002238E9" w:rsidRDefault="008E77B8" w:rsidP="002238E9">
      <w:pPr>
        <w:pStyle w:val="Heading2"/>
        <w:rPr>
          <w:b/>
        </w:rPr>
      </w:pPr>
      <w:r w:rsidRPr="002238E9">
        <w:rPr>
          <w:b/>
        </w:rPr>
        <w:t>Course Management</w:t>
      </w:r>
    </w:p>
    <w:p w14:paraId="3A9CDE65" w14:textId="77777777" w:rsidR="008E77B8" w:rsidRPr="008E77B8" w:rsidRDefault="008E77B8" w:rsidP="002238E9">
      <w:pPr>
        <w:pStyle w:val="SectionBodytext"/>
      </w:pPr>
      <w:r w:rsidRPr="008E77B8">
        <w:t>The System shall provide comprehensive course management capabilities including, without limitation to, below:</w:t>
      </w:r>
    </w:p>
    <w:p w14:paraId="2F0C9160" w14:textId="79F922A9" w:rsidR="008E77B8" w:rsidRPr="008E77B8" w:rsidRDefault="00991A8C" w:rsidP="00112376">
      <w:pPr>
        <w:pStyle w:val="Heading3"/>
        <w:rPr>
          <w:color w:val="FF0000"/>
        </w:rPr>
      </w:pPr>
      <w:r w:rsidRPr="008E77B8">
        <w:t>Self</w:t>
      </w:r>
      <w:r>
        <w:t>-enrolments</w:t>
      </w:r>
      <w:r w:rsidR="008E77B8" w:rsidRPr="008E77B8">
        <w:t xml:space="preserve">, Group, System-fed and manual enrolments should be possible for </w:t>
      </w:r>
      <w:r w:rsidR="00052DD5">
        <w:t>grouping of students</w:t>
      </w:r>
      <w:r w:rsidR="008E77B8" w:rsidRPr="008E77B8">
        <w:t>.</w:t>
      </w:r>
    </w:p>
    <w:p w14:paraId="09FB96E2" w14:textId="726863AB" w:rsidR="00052DD5" w:rsidRDefault="00052DD5" w:rsidP="00112376">
      <w:pPr>
        <w:pStyle w:val="Heading3"/>
      </w:pPr>
      <w:r w:rsidRPr="008E77B8">
        <w:t>Students can be assigned to one</w:t>
      </w:r>
      <w:r>
        <w:t>,</w:t>
      </w:r>
      <w:r w:rsidRPr="008E77B8">
        <w:t xml:space="preserve"> or more</w:t>
      </w:r>
      <w:r>
        <w:t>,</w:t>
      </w:r>
      <w:r w:rsidRPr="008E77B8">
        <w:t xml:space="preserve"> groups within a course. </w:t>
      </w:r>
    </w:p>
    <w:p w14:paraId="59F07A03" w14:textId="0CD946D8" w:rsidR="00052DD5" w:rsidRDefault="00052DD5" w:rsidP="00112376">
      <w:pPr>
        <w:pStyle w:val="Heading3"/>
      </w:pPr>
      <w:r w:rsidRPr="00052DD5">
        <w:t>Ability to edit group membership.</w:t>
      </w:r>
    </w:p>
    <w:p w14:paraId="067F8E42" w14:textId="5CF30C0E" w:rsidR="00C22A0D" w:rsidRDefault="00C22A0D" w:rsidP="00112376">
      <w:pPr>
        <w:pStyle w:val="Heading3"/>
      </w:pPr>
      <w:r>
        <w:t>Abi</w:t>
      </w:r>
      <w:r w:rsidRPr="00C22A0D">
        <w:t>lity to restrict tools/activity by groups.</w:t>
      </w:r>
    </w:p>
    <w:p w14:paraId="7322651A" w14:textId="7B3DBD85" w:rsidR="00C22A0D" w:rsidRPr="00C22A0D" w:rsidRDefault="00C22A0D" w:rsidP="00112376">
      <w:pPr>
        <w:pStyle w:val="Heading3"/>
      </w:pPr>
      <w:r w:rsidRPr="00C22A0D">
        <w:t>Ability to automate the creation of groups.</w:t>
      </w:r>
    </w:p>
    <w:p w14:paraId="1031CAB2" w14:textId="2D73081D" w:rsidR="008E77B8" w:rsidRPr="008E77B8" w:rsidRDefault="008E77B8" w:rsidP="00112376">
      <w:pPr>
        <w:pStyle w:val="Heading3"/>
      </w:pPr>
      <w:r w:rsidRPr="008E77B8">
        <w:t xml:space="preserve">A facility to define course templates, to customise the look and feel </w:t>
      </w:r>
      <w:r w:rsidR="00052DD5">
        <w:t>of a course/ programme/module. H</w:t>
      </w:r>
      <w:r w:rsidR="006E484C">
        <w:t>owever, S</w:t>
      </w:r>
      <w:r w:rsidRPr="008E77B8">
        <w:t>ystem admin to have control of what is available</w:t>
      </w:r>
    </w:p>
    <w:p w14:paraId="3E8A941D" w14:textId="01E03215" w:rsidR="00112376" w:rsidRDefault="00112376" w:rsidP="00112376">
      <w:pPr>
        <w:pStyle w:val="Heading3"/>
      </w:pPr>
      <w:r w:rsidRPr="00112376">
        <w:t>A facility for archiving all course areas on an individual basis and by a batch archiving process.</w:t>
      </w:r>
    </w:p>
    <w:p w14:paraId="10EDEDC1" w14:textId="1C76B244" w:rsidR="00112376" w:rsidRDefault="00112376" w:rsidP="00112376">
      <w:pPr>
        <w:pStyle w:val="Heading3"/>
      </w:pPr>
      <w:r w:rsidRPr="00112376">
        <w:t>A variety of roles can be supported through full flexibility to set and customise permissions.</w:t>
      </w:r>
    </w:p>
    <w:p w14:paraId="73BAFC8A" w14:textId="77777777" w:rsidR="00112376" w:rsidRPr="00112376" w:rsidRDefault="00112376" w:rsidP="00112376">
      <w:pPr>
        <w:pStyle w:val="Heading3"/>
      </w:pPr>
      <w:r w:rsidRPr="00112376">
        <w:t>Devolved management of archived courses, e.g. by departmental administrator (super user).</w:t>
      </w:r>
    </w:p>
    <w:p w14:paraId="0B5781AF" w14:textId="77777777" w:rsidR="00112376" w:rsidRDefault="00112376" w:rsidP="00112376">
      <w:pPr>
        <w:pStyle w:val="Heading3"/>
      </w:pPr>
      <w:r w:rsidRPr="00112376">
        <w:t>The export/ import of archived courses, which were created in a different System, into the new online learning System, including automation for individual and multiple courses (batch import of archived course areas from another VLE via an open standard)</w:t>
      </w:r>
    </w:p>
    <w:p w14:paraId="1A5CF1FA" w14:textId="081AE6AF" w:rsidR="008E77B8" w:rsidRPr="00112376" w:rsidRDefault="008E77B8" w:rsidP="00112376">
      <w:pPr>
        <w:pStyle w:val="Heading3"/>
      </w:pPr>
      <w:r w:rsidRPr="00112376">
        <w:t>Courses can be configured with child\parent relationships (e.g. to allow for child course(s) enrolments to be fed into parent).</w:t>
      </w:r>
    </w:p>
    <w:p w14:paraId="52CE703A" w14:textId="77777777" w:rsidR="00112376" w:rsidRPr="008E77B8" w:rsidRDefault="00112376" w:rsidP="00112376">
      <w:pPr>
        <w:pStyle w:val="Heading3"/>
        <w:rPr>
          <w:color w:val="4F81BD" w:themeColor="accent1"/>
        </w:rPr>
      </w:pPr>
      <w:r w:rsidRPr="008E77B8">
        <w:t>Bulk course creation is possible via csv</w:t>
      </w:r>
      <w:r w:rsidRPr="008E77B8">
        <w:rPr>
          <w:color w:val="4F81BD" w:themeColor="accent1"/>
        </w:rPr>
        <w:t>.</w:t>
      </w:r>
    </w:p>
    <w:p w14:paraId="10A1A9AE" w14:textId="7FC16957" w:rsidR="00112376" w:rsidRPr="00112376" w:rsidRDefault="006E484C" w:rsidP="00112376">
      <w:pPr>
        <w:pStyle w:val="Heading3"/>
      </w:pPr>
      <w:r>
        <w:t>Access to S</w:t>
      </w:r>
      <w:r w:rsidR="00112376">
        <w:t>ystem logs.</w:t>
      </w:r>
    </w:p>
    <w:p w14:paraId="57006CCC" w14:textId="77777777" w:rsidR="008E77B8" w:rsidRPr="002238E9" w:rsidRDefault="008E77B8" w:rsidP="002238E9">
      <w:pPr>
        <w:pStyle w:val="Heading2"/>
        <w:rPr>
          <w:rFonts w:eastAsiaTheme="minorHAnsi"/>
          <w:b/>
        </w:rPr>
      </w:pPr>
      <w:r w:rsidRPr="002238E9">
        <w:rPr>
          <w:rFonts w:eastAsiaTheme="minorHAnsi"/>
          <w:b/>
        </w:rPr>
        <w:t>Teaching Timetables</w:t>
      </w:r>
    </w:p>
    <w:p w14:paraId="465AA09B" w14:textId="77777777" w:rsidR="008E77B8" w:rsidRPr="008E77B8" w:rsidRDefault="008E77B8" w:rsidP="002238E9">
      <w:pPr>
        <w:pStyle w:val="SectionBodytext"/>
      </w:pPr>
      <w:r w:rsidRPr="008E77B8">
        <w:t>The System shall include capability to:</w:t>
      </w:r>
    </w:p>
    <w:p w14:paraId="1DD033A0" w14:textId="77777777" w:rsidR="008E77B8" w:rsidRPr="008E77B8" w:rsidRDefault="008E77B8" w:rsidP="002238E9">
      <w:pPr>
        <w:pStyle w:val="Heading3"/>
      </w:pPr>
      <w:r w:rsidRPr="008E77B8">
        <w:t>Add an event to a course timetable</w:t>
      </w:r>
      <w:r w:rsidR="002238E9">
        <w:t>,</w:t>
      </w:r>
      <w:r w:rsidRPr="008E77B8">
        <w:t xml:space="preserve"> e</w:t>
      </w:r>
      <w:r w:rsidR="002238E9">
        <w:t>.</w:t>
      </w:r>
      <w:r w:rsidRPr="008E77B8">
        <w:t>g. an event that can support multiple rooms and lectures.</w:t>
      </w:r>
    </w:p>
    <w:p w14:paraId="57594861" w14:textId="77777777" w:rsidR="008E77B8" w:rsidRPr="008E77B8" w:rsidRDefault="008E77B8" w:rsidP="002238E9">
      <w:pPr>
        <w:pStyle w:val="Heading3"/>
      </w:pPr>
      <w:r w:rsidRPr="008E77B8">
        <w:t>Attach learning resources (links and files) to a teaching event.</w:t>
      </w:r>
    </w:p>
    <w:p w14:paraId="173AA77A" w14:textId="77777777" w:rsidR="008E77B8" w:rsidRPr="008E77B8" w:rsidRDefault="008E77B8" w:rsidP="002238E9">
      <w:pPr>
        <w:pStyle w:val="Heading3"/>
      </w:pPr>
      <w:r w:rsidRPr="008E77B8">
        <w:t>Hide/publish teaching events.</w:t>
      </w:r>
    </w:p>
    <w:p w14:paraId="4037BEEC" w14:textId="77777777" w:rsidR="008E77B8" w:rsidRPr="008E77B8" w:rsidRDefault="008E77B8" w:rsidP="002238E9">
      <w:pPr>
        <w:pStyle w:val="Heading3"/>
      </w:pPr>
      <w:r w:rsidRPr="008E77B8">
        <w:t>Provide a personal timetable for each student.</w:t>
      </w:r>
    </w:p>
    <w:p w14:paraId="35A44824" w14:textId="77777777" w:rsidR="008E77B8" w:rsidRPr="008E77B8" w:rsidRDefault="008E77B8" w:rsidP="002238E9">
      <w:pPr>
        <w:pStyle w:val="Heading3"/>
      </w:pPr>
      <w:r w:rsidRPr="008E77B8">
        <w:t>Associate a tutor with a teaching event.</w:t>
      </w:r>
    </w:p>
    <w:p w14:paraId="7A704FD6" w14:textId="77777777" w:rsidR="008E77B8" w:rsidRPr="008E77B8" w:rsidRDefault="008E77B8" w:rsidP="002238E9">
      <w:pPr>
        <w:pStyle w:val="Heading3"/>
      </w:pPr>
      <w:r w:rsidRPr="008E77B8">
        <w:t>Generate class registers and photo boards of students.</w:t>
      </w:r>
    </w:p>
    <w:p w14:paraId="28CD845D" w14:textId="77777777" w:rsidR="008E77B8" w:rsidRPr="002238E9" w:rsidRDefault="008E77B8" w:rsidP="002238E9">
      <w:pPr>
        <w:pStyle w:val="Heading2"/>
        <w:rPr>
          <w:rFonts w:eastAsiaTheme="minorHAnsi"/>
          <w:b/>
        </w:rPr>
      </w:pPr>
      <w:r w:rsidRPr="002238E9">
        <w:rPr>
          <w:rFonts w:eastAsiaTheme="minorHAnsi"/>
          <w:b/>
        </w:rPr>
        <w:t>Elections</w:t>
      </w:r>
    </w:p>
    <w:p w14:paraId="6F5B9D2D" w14:textId="77777777" w:rsidR="008E77B8" w:rsidRPr="008E77B8" w:rsidRDefault="008E77B8" w:rsidP="002238E9">
      <w:pPr>
        <w:pStyle w:val="Heading3"/>
      </w:pPr>
      <w:r w:rsidRPr="008E77B8">
        <w:t xml:space="preserve">Student election capabilities to support class representative elections would be desirable. Teaching/admin staff should be able to create an election which is run for a specified period including student voting capabilities.   </w:t>
      </w:r>
    </w:p>
    <w:p w14:paraId="28A9CCCC" w14:textId="77777777" w:rsidR="008E77B8" w:rsidRPr="002238E9" w:rsidRDefault="008E77B8" w:rsidP="002238E9">
      <w:pPr>
        <w:pStyle w:val="Heading2"/>
        <w:rPr>
          <w:rFonts w:eastAsiaTheme="minorHAnsi"/>
          <w:b/>
        </w:rPr>
      </w:pPr>
      <w:r w:rsidRPr="002238E9">
        <w:rPr>
          <w:rFonts w:eastAsiaTheme="minorHAnsi"/>
          <w:b/>
        </w:rPr>
        <w:t>Student Support</w:t>
      </w:r>
    </w:p>
    <w:p w14:paraId="152274EB" w14:textId="77777777" w:rsidR="008E77B8" w:rsidRPr="008E77B8" w:rsidRDefault="008E77B8" w:rsidP="0094123A">
      <w:pPr>
        <w:pStyle w:val="Heading3"/>
      </w:pPr>
      <w:r w:rsidRPr="008E77B8">
        <w:t>The System should be capable of enabling administrators to login as a student with visibility of all that the student can see within the System to assist resolution of support queries.</w:t>
      </w:r>
    </w:p>
    <w:p w14:paraId="65EC27CC" w14:textId="77777777" w:rsidR="008E77B8" w:rsidRPr="008E77B8" w:rsidRDefault="008E77B8" w:rsidP="002238E9">
      <w:pPr>
        <w:pStyle w:val="Heading1"/>
      </w:pPr>
      <w:bookmarkStart w:id="6" w:name="_Integration_and_Extension"/>
      <w:bookmarkEnd w:id="6"/>
      <w:r w:rsidRPr="008E77B8">
        <w:t>Integration</w:t>
      </w:r>
      <w:r w:rsidRPr="008E77B8">
        <w:rPr>
          <w:color w:val="FF0000"/>
        </w:rPr>
        <w:t xml:space="preserve"> </w:t>
      </w:r>
      <w:r w:rsidRPr="008E77B8">
        <w:t>and Extension</w:t>
      </w:r>
      <w:r w:rsidRPr="008E77B8">
        <w:rPr>
          <w:color w:val="FF0000"/>
        </w:rPr>
        <w:t xml:space="preserve"> </w:t>
      </w:r>
      <w:r w:rsidRPr="008E77B8">
        <w:t xml:space="preserve">Capabilities  </w:t>
      </w:r>
    </w:p>
    <w:p w14:paraId="2FBFA171" w14:textId="77777777" w:rsidR="008E77B8" w:rsidRPr="008E77B8" w:rsidRDefault="008E77B8" w:rsidP="002238E9">
      <w:pPr>
        <w:pStyle w:val="SectionBodytext"/>
      </w:pPr>
      <w:r w:rsidRPr="008E77B8">
        <w:t>The Contractor System shall be fully capable of delivering seamless live integration and</w:t>
      </w:r>
    </w:p>
    <w:p w14:paraId="65A127D7" w14:textId="7239ABF3" w:rsidR="008E77B8" w:rsidRPr="008E77B8" w:rsidRDefault="008E77B8" w:rsidP="002238E9">
      <w:pPr>
        <w:pStyle w:val="SectionBodytext"/>
      </w:pPr>
      <w:r w:rsidRPr="008E77B8">
        <w:t>support, withou</w:t>
      </w:r>
      <w:r w:rsidR="006E484C">
        <w:t>t limitation to, the software, S</w:t>
      </w:r>
      <w:r w:rsidRPr="008E77B8">
        <w:t>ystems and interoperability standards listed</w:t>
      </w:r>
    </w:p>
    <w:p w14:paraId="7282615B" w14:textId="77777777" w:rsidR="008E77B8" w:rsidRPr="008E77B8" w:rsidRDefault="008E77B8" w:rsidP="002238E9">
      <w:pPr>
        <w:pStyle w:val="SectionBodytext"/>
      </w:pPr>
      <w:r w:rsidRPr="008E77B8">
        <w:t xml:space="preserve">below:  </w:t>
      </w:r>
    </w:p>
    <w:p w14:paraId="0EDDE2BD" w14:textId="77777777" w:rsidR="008E77B8" w:rsidRPr="002238E9" w:rsidRDefault="008E77B8" w:rsidP="002238E9">
      <w:pPr>
        <w:pStyle w:val="Heading2"/>
        <w:rPr>
          <w:b/>
        </w:rPr>
      </w:pPr>
      <w:r w:rsidRPr="002238E9">
        <w:rPr>
          <w:b/>
        </w:rPr>
        <w:t>Systems</w:t>
      </w:r>
    </w:p>
    <w:p w14:paraId="715017BE" w14:textId="72CE2163" w:rsidR="008E77B8" w:rsidRPr="008E77B8" w:rsidRDefault="008E77B8" w:rsidP="002238E9">
      <w:pPr>
        <w:pStyle w:val="Heading3"/>
      </w:pPr>
      <w:r w:rsidRPr="008E77B8">
        <w:t>Similarity Detection software supporting assignment submission through a text matching service</w:t>
      </w:r>
      <w:r w:rsidR="00FB2364">
        <w:t xml:space="preserve"> (most commonly the systems within the sector are Turnitin UK Ltd and Urkund, although this may be subject to change throughout the duration of the Framework Agreement</w:t>
      </w:r>
    </w:p>
    <w:p w14:paraId="28ABBEDF" w14:textId="41C01ABB" w:rsidR="008E77B8" w:rsidRPr="008E77B8" w:rsidRDefault="008E77B8" w:rsidP="002238E9">
      <w:pPr>
        <w:pStyle w:val="Heading3"/>
      </w:pPr>
      <w:r w:rsidRPr="008E77B8">
        <w:t xml:space="preserve">Collaboration suites including </w:t>
      </w:r>
      <w:r w:rsidR="00112376">
        <w:t>integrated web based</w:t>
      </w:r>
      <w:r w:rsidRPr="008E77B8">
        <w:t xml:space="preserve"> classroom capabilities</w:t>
      </w:r>
    </w:p>
    <w:p w14:paraId="24686494" w14:textId="764202C0" w:rsidR="00112376" w:rsidRDefault="008E77B8" w:rsidP="00FB2364">
      <w:pPr>
        <w:pStyle w:val="Heading3"/>
      </w:pPr>
      <w:r w:rsidRPr="008E77B8">
        <w:t>Student Records</w:t>
      </w:r>
      <w:r w:rsidR="00FB2364">
        <w:t xml:space="preserve"> (typically provided to the sector by </w:t>
      </w:r>
      <w:r w:rsidR="00FB2364" w:rsidRPr="00FB2364">
        <w:t>Capita IT Services Ltd, Tribal Education Ltd, Unit4 Business Software Limited</w:t>
      </w:r>
      <w:r w:rsidR="00FB2364">
        <w:t>)</w:t>
      </w:r>
    </w:p>
    <w:p w14:paraId="5FC64BC0" w14:textId="62C9D982" w:rsidR="008E77B8" w:rsidRDefault="008E77B8" w:rsidP="002238E9">
      <w:pPr>
        <w:pStyle w:val="Heading3"/>
      </w:pPr>
      <w:r w:rsidRPr="008E77B8">
        <w:t xml:space="preserve">Attendance Systems </w:t>
      </w:r>
    </w:p>
    <w:p w14:paraId="74AA3D9E" w14:textId="581B4110" w:rsidR="00112376" w:rsidRPr="00112376" w:rsidRDefault="00112376" w:rsidP="00112376">
      <w:pPr>
        <w:pStyle w:val="Heading3"/>
      </w:pPr>
      <w:r w:rsidRPr="008E77B8">
        <w:t>Single Sign On (SSO) solutions (e.g. Shibboleth, LDAP or equivalent). It should be possible to configure multiple authentication mechanisms to use in a given order on a server-by-server basis.</w:t>
      </w:r>
    </w:p>
    <w:p w14:paraId="5554DD50" w14:textId="77777777" w:rsidR="008E77B8" w:rsidRPr="008E77B8" w:rsidRDefault="008E77B8" w:rsidP="002238E9">
      <w:pPr>
        <w:pStyle w:val="Heading3"/>
      </w:pPr>
      <w:r w:rsidRPr="008E77B8">
        <w:t>Content Management Systems</w:t>
      </w:r>
    </w:p>
    <w:p w14:paraId="33BB3ABA" w14:textId="5FC2637C" w:rsidR="008E77B8" w:rsidRDefault="008E77B8" w:rsidP="002238E9">
      <w:pPr>
        <w:pStyle w:val="Heading3"/>
      </w:pPr>
      <w:r w:rsidRPr="008E77B8">
        <w:t>Finance Systems</w:t>
      </w:r>
    </w:p>
    <w:p w14:paraId="3F6F79E4" w14:textId="16B7E642" w:rsidR="00112376" w:rsidRDefault="00112376" w:rsidP="00112376">
      <w:pPr>
        <w:pStyle w:val="Heading3"/>
      </w:pPr>
      <w:r w:rsidRPr="00112376">
        <w:t>Identity Management (IDM) Systems.</w:t>
      </w:r>
    </w:p>
    <w:p w14:paraId="28091CFD" w14:textId="0FCA40F9" w:rsidR="00112376" w:rsidRPr="00112376" w:rsidRDefault="00112376" w:rsidP="00112376">
      <w:pPr>
        <w:pStyle w:val="Heading3"/>
      </w:pPr>
      <w:r>
        <w:t>Human Resources Systems</w:t>
      </w:r>
    </w:p>
    <w:p w14:paraId="30C8C44B" w14:textId="63B41F14" w:rsidR="008E77B8" w:rsidRPr="008E77B8" w:rsidRDefault="008E77B8" w:rsidP="002238E9">
      <w:pPr>
        <w:pStyle w:val="Heading3"/>
      </w:pPr>
      <w:r w:rsidRPr="008E77B8">
        <w:t>e-Portfolio Systems including, but not limited to, Maha</w:t>
      </w:r>
      <w:r w:rsidR="00112376">
        <w:t xml:space="preserve">ra, </w:t>
      </w:r>
      <w:r w:rsidRPr="008E77B8">
        <w:t xml:space="preserve">Pathbrite </w:t>
      </w:r>
      <w:r w:rsidR="00112376">
        <w:t xml:space="preserve">and Pebblepad </w:t>
      </w:r>
      <w:r w:rsidRPr="008E77B8">
        <w:t>(or equivalent)</w:t>
      </w:r>
    </w:p>
    <w:p w14:paraId="033C7964" w14:textId="4633BB7F" w:rsidR="008E77B8" w:rsidRPr="008E77B8" w:rsidRDefault="00112376" w:rsidP="00112376">
      <w:pPr>
        <w:pStyle w:val="Heading3"/>
      </w:pPr>
      <w:r w:rsidRPr="00112376">
        <w:t>Online file sharing Systems and cloud-based storage Systems, su</w:t>
      </w:r>
      <w:r>
        <w:t xml:space="preserve">ch as Office 365 Google Drive, </w:t>
      </w:r>
      <w:r w:rsidRPr="00112376">
        <w:t xml:space="preserve">Box and Dropbox (or equivalent). </w:t>
      </w:r>
      <w:r w:rsidR="008E77B8" w:rsidRPr="008E77B8">
        <w:t>Library management platforms</w:t>
      </w:r>
    </w:p>
    <w:p w14:paraId="090C8D1B" w14:textId="72E34B28" w:rsidR="008E77B8" w:rsidRPr="008E77B8" w:rsidRDefault="00112376" w:rsidP="002238E9">
      <w:pPr>
        <w:pStyle w:val="Heading3"/>
      </w:pPr>
      <w:r>
        <w:t>Reading list software</w:t>
      </w:r>
    </w:p>
    <w:p w14:paraId="418DFDD4" w14:textId="77777777" w:rsidR="008E77B8" w:rsidRPr="002238E9" w:rsidRDefault="008E77B8" w:rsidP="002238E9">
      <w:pPr>
        <w:pStyle w:val="Heading2"/>
        <w:rPr>
          <w:b/>
        </w:rPr>
      </w:pPr>
      <w:r w:rsidRPr="002238E9">
        <w:rPr>
          <w:b/>
        </w:rPr>
        <w:t>Interoperability Standards</w:t>
      </w:r>
    </w:p>
    <w:p w14:paraId="7F4F909E" w14:textId="3F7330CB" w:rsidR="008E77B8" w:rsidRPr="008E77B8" w:rsidRDefault="008E77B8" w:rsidP="002238E9">
      <w:pPr>
        <w:pStyle w:val="Heading3"/>
      </w:pPr>
      <w:r w:rsidRPr="008E77B8">
        <w:t>Learning Tools In</w:t>
      </w:r>
      <w:r w:rsidR="00112376">
        <w:t>teroperability (LTI) (at LTI 1.0 as a minimum, 2.0 is desirable</w:t>
      </w:r>
      <w:r w:rsidRPr="008E77B8">
        <w:t>)</w:t>
      </w:r>
    </w:p>
    <w:p w14:paraId="2A6BFF1A" w14:textId="77777777" w:rsidR="008E77B8" w:rsidRPr="008E77B8" w:rsidRDefault="008E77B8" w:rsidP="002238E9">
      <w:pPr>
        <w:pStyle w:val="Heading3"/>
      </w:pPr>
      <w:r w:rsidRPr="008E77B8">
        <w:t xml:space="preserve">IMS Global Standards:  IMS Common Cartridge, Learning Information Services (LIS), QTI. Caliper Analytics, or equivalent, is also desirable.  </w:t>
      </w:r>
    </w:p>
    <w:p w14:paraId="0C264C1C" w14:textId="77777777" w:rsidR="008E77B8" w:rsidRPr="008E77B8" w:rsidRDefault="008E77B8" w:rsidP="002238E9">
      <w:pPr>
        <w:pStyle w:val="Heading3"/>
      </w:pPr>
      <w:r w:rsidRPr="008E77B8">
        <w:t xml:space="preserve">SCORM1.2, 2004, version 3, or later version. </w:t>
      </w:r>
    </w:p>
    <w:p w14:paraId="34428279" w14:textId="77777777" w:rsidR="008E77B8" w:rsidRPr="002238E9" w:rsidRDefault="008E77B8" w:rsidP="002238E9">
      <w:pPr>
        <w:pStyle w:val="Heading2"/>
        <w:rPr>
          <w:b/>
        </w:rPr>
      </w:pPr>
      <w:r w:rsidRPr="002238E9">
        <w:rPr>
          <w:b/>
        </w:rPr>
        <w:t>Social Media</w:t>
      </w:r>
    </w:p>
    <w:p w14:paraId="76942D8D" w14:textId="77777777" w:rsidR="008E77B8" w:rsidRPr="008E77B8" w:rsidRDefault="008E77B8" w:rsidP="002238E9">
      <w:pPr>
        <w:pStyle w:val="SectionBodytext"/>
      </w:pPr>
      <w:r w:rsidRPr="008E77B8">
        <w:t>The System should integrate with a wide range of social media tools.</w:t>
      </w:r>
    </w:p>
    <w:p w14:paraId="775CC3A7" w14:textId="77777777" w:rsidR="008E77B8" w:rsidRPr="008E77B8" w:rsidRDefault="008E77B8" w:rsidP="002238E9">
      <w:pPr>
        <w:pStyle w:val="Heading1"/>
      </w:pPr>
      <w:bookmarkStart w:id="7" w:name="_Enterprise_Reporting_and"/>
      <w:bookmarkEnd w:id="7"/>
      <w:r w:rsidRPr="008E77B8">
        <w:t xml:space="preserve">Enterprise Reporting and Access to Institution Data </w:t>
      </w:r>
    </w:p>
    <w:p w14:paraId="3CCAD33B" w14:textId="77777777" w:rsidR="008E77B8" w:rsidRPr="008E77B8" w:rsidRDefault="008E77B8" w:rsidP="002238E9">
      <w:pPr>
        <w:pStyle w:val="Heading2"/>
      </w:pPr>
      <w:r w:rsidRPr="008E77B8">
        <w:t>The Contractor shall provide, without limitation to, the capabilities listed below:</w:t>
      </w:r>
    </w:p>
    <w:p w14:paraId="4C16581F" w14:textId="77777777" w:rsidR="008E77B8" w:rsidRPr="008E77B8" w:rsidRDefault="008E77B8" w:rsidP="00112376">
      <w:pPr>
        <w:pStyle w:val="Heading3"/>
      </w:pPr>
      <w:r w:rsidRPr="008E77B8">
        <w:t>Customer access to their own Institutional data in a standard “open” rather than proprietary form</w:t>
      </w:r>
    </w:p>
    <w:p w14:paraId="6BAC4FBC" w14:textId="57275505" w:rsidR="008E77B8" w:rsidRPr="008E77B8" w:rsidRDefault="00112376" w:rsidP="00112376">
      <w:pPr>
        <w:pStyle w:val="Heading3"/>
      </w:pPr>
      <w:r>
        <w:t>The ability to design and create reports within the System.</w:t>
      </w:r>
    </w:p>
    <w:p w14:paraId="4C7BDA8E" w14:textId="77777777" w:rsidR="008E77B8" w:rsidRPr="008E77B8" w:rsidRDefault="008E77B8" w:rsidP="002238E9">
      <w:pPr>
        <w:pStyle w:val="Heading1"/>
      </w:pPr>
      <w:bookmarkStart w:id="8" w:name="_General_Operating_Environment"/>
      <w:bookmarkEnd w:id="8"/>
      <w:r w:rsidRPr="008E77B8">
        <w:t>General Operating Environment</w:t>
      </w:r>
    </w:p>
    <w:p w14:paraId="467C4BC8" w14:textId="77777777" w:rsidR="008E77B8" w:rsidRPr="008E77B8" w:rsidRDefault="008E77B8" w:rsidP="002238E9">
      <w:pPr>
        <w:pStyle w:val="SectionBodytext"/>
      </w:pPr>
      <w:r w:rsidRPr="008E77B8">
        <w:t>The Contractor shall provide a System that is fully compliant and operational with the</w:t>
      </w:r>
    </w:p>
    <w:p w14:paraId="29741B76" w14:textId="77777777" w:rsidR="008E77B8" w:rsidRPr="008E77B8" w:rsidRDefault="008E77B8" w:rsidP="002238E9">
      <w:pPr>
        <w:pStyle w:val="SectionBodytext"/>
      </w:pPr>
      <w:r w:rsidRPr="008E77B8">
        <w:t>following, plus any later versions adopted by institutions:</w:t>
      </w:r>
    </w:p>
    <w:p w14:paraId="6637100B" w14:textId="72E8F06D" w:rsidR="001B678E" w:rsidRDefault="00112376" w:rsidP="00112376">
      <w:pPr>
        <w:pStyle w:val="Heading3"/>
      </w:pPr>
      <w:r w:rsidRPr="00112376">
        <w:t>Browsers, including but not limited to, Google Chrome, Internet Explorer, Firefox, Safari, Edge, iOS, Android and Windows Phone. The System supports both new releases and browser versions older than one or two years.</w:t>
      </w:r>
      <w:r>
        <w:t xml:space="preserve"> </w:t>
      </w:r>
      <w:r w:rsidR="001B678E" w:rsidRPr="008E77B8">
        <w:t>The System displays a notification</w:t>
      </w:r>
      <w:r w:rsidR="001B678E" w:rsidRPr="008E77B8">
        <w:rPr>
          <w:color w:val="FF0000"/>
        </w:rPr>
        <w:t xml:space="preserve"> </w:t>
      </w:r>
      <w:r w:rsidR="001B678E" w:rsidRPr="008E77B8">
        <w:t xml:space="preserve">when trying to use an incompatible browser. </w:t>
      </w:r>
    </w:p>
    <w:p w14:paraId="6D5C6FEB" w14:textId="60D7DA9A" w:rsidR="00112376" w:rsidRPr="00112376" w:rsidRDefault="00112376" w:rsidP="00425F0A">
      <w:pPr>
        <w:pStyle w:val="Heading3"/>
      </w:pPr>
      <w:r w:rsidRPr="00112376">
        <w:t xml:space="preserve">The System is device agnostic at the base level with the potential to include apps if required. </w:t>
      </w:r>
    </w:p>
    <w:p w14:paraId="27838478" w14:textId="77777777" w:rsidR="008E77B8" w:rsidRPr="008E77B8" w:rsidRDefault="008E77B8" w:rsidP="002238E9">
      <w:pPr>
        <w:pStyle w:val="Heading1"/>
      </w:pPr>
      <w:bookmarkStart w:id="9" w:name="_Support,_Maintenance_and"/>
      <w:bookmarkEnd w:id="9"/>
      <w:r w:rsidRPr="008E77B8">
        <w:t>Support, Maintenance and Hosting</w:t>
      </w:r>
    </w:p>
    <w:p w14:paraId="7B7DBA4B" w14:textId="77777777" w:rsidR="008E77B8" w:rsidRPr="008E77B8" w:rsidRDefault="008E77B8" w:rsidP="002238E9">
      <w:pPr>
        <w:pStyle w:val="SectionBodytext"/>
      </w:pPr>
      <w:r w:rsidRPr="008E77B8">
        <w:t>The Contractor shall provide, without limitation to, the capabilities listed below:</w:t>
      </w:r>
    </w:p>
    <w:p w14:paraId="2160D31F" w14:textId="77777777" w:rsidR="008E77B8" w:rsidRPr="002238E9" w:rsidRDefault="008E77B8" w:rsidP="002238E9">
      <w:pPr>
        <w:pStyle w:val="Heading2"/>
        <w:rPr>
          <w:b/>
        </w:rPr>
      </w:pPr>
      <w:r w:rsidRPr="002238E9">
        <w:rPr>
          <w:b/>
        </w:rPr>
        <w:t xml:space="preserve">Support and Service Level Options </w:t>
      </w:r>
    </w:p>
    <w:p w14:paraId="254699D0" w14:textId="7AAB9F3D" w:rsidR="008E77B8" w:rsidRPr="008E77B8" w:rsidRDefault="008E77B8" w:rsidP="002238E9">
      <w:pPr>
        <w:pStyle w:val="Heading3"/>
      </w:pPr>
      <w:r w:rsidRPr="008E77B8">
        <w:t>Service desk shall be available to the Customer during all standard UK working hours and easily contactable through a range of communication channels</w:t>
      </w:r>
      <w:r w:rsidR="000E3C79">
        <w:t>,</w:t>
      </w:r>
      <w:r w:rsidRPr="008E77B8">
        <w:t xml:space="preserve"> including telephone.</w:t>
      </w:r>
    </w:p>
    <w:p w14:paraId="20877AC9" w14:textId="0795861C" w:rsidR="008E77B8" w:rsidRPr="008E77B8" w:rsidRDefault="00425F0A" w:rsidP="002238E9">
      <w:pPr>
        <w:pStyle w:val="Heading3"/>
        <w:rPr>
          <w:rFonts w:cs="Arial"/>
          <w:szCs w:val="22"/>
        </w:rPr>
      </w:pPr>
      <w:r>
        <w:rPr>
          <w:rFonts w:cs="Arial"/>
          <w:szCs w:val="22"/>
        </w:rPr>
        <w:t>Extended</w:t>
      </w:r>
      <w:r w:rsidR="008E77B8" w:rsidRPr="008E77B8">
        <w:rPr>
          <w:rFonts w:cs="Arial"/>
          <w:szCs w:val="22"/>
        </w:rPr>
        <w:t xml:space="preserve"> cover service level options including, but not limited to, 24/7.</w:t>
      </w:r>
    </w:p>
    <w:p w14:paraId="536A9B4C" w14:textId="77777777" w:rsidR="000E3C79" w:rsidRPr="008E77B8" w:rsidRDefault="000E3C79" w:rsidP="000E3C79">
      <w:pPr>
        <w:pStyle w:val="Heading3"/>
        <w:rPr>
          <w:rFonts w:cs="Arial"/>
          <w:szCs w:val="22"/>
        </w:rPr>
      </w:pPr>
      <w:r w:rsidRPr="008E77B8">
        <w:rPr>
          <w:rFonts w:cs="Arial"/>
          <w:szCs w:val="22"/>
        </w:rPr>
        <w:t>The Contractor should have a dedicated team for technical support.</w:t>
      </w:r>
    </w:p>
    <w:p w14:paraId="087E29AB" w14:textId="18CCAE64" w:rsidR="008E77B8" w:rsidRPr="008E77B8" w:rsidRDefault="008E77B8" w:rsidP="002238E9">
      <w:pPr>
        <w:pStyle w:val="Heading3"/>
        <w:rPr>
          <w:rFonts w:cs="Arial"/>
          <w:szCs w:val="22"/>
        </w:rPr>
      </w:pPr>
      <w:r w:rsidRPr="008E77B8">
        <w:rPr>
          <w:rFonts w:cs="Arial"/>
          <w:szCs w:val="22"/>
        </w:rPr>
        <w:t>Fault/fix response times to maintain service continuity in compliance with all contracted service levels and key performance indicators.</w:t>
      </w:r>
    </w:p>
    <w:p w14:paraId="6B1144E2" w14:textId="63702491" w:rsidR="008E77B8" w:rsidRPr="008E77B8" w:rsidRDefault="008E77B8" w:rsidP="00425F0A">
      <w:pPr>
        <w:pStyle w:val="Heading3"/>
      </w:pPr>
      <w:r w:rsidRPr="008E77B8">
        <w:t xml:space="preserve">The support service should have certified </w:t>
      </w:r>
      <w:r w:rsidR="00425F0A">
        <w:t xml:space="preserve">ITIL, or equivalent methodology, </w:t>
      </w:r>
      <w:r w:rsidR="00425F0A" w:rsidRPr="00425F0A">
        <w:rPr>
          <w:rFonts w:cs="Arial"/>
          <w:szCs w:val="22"/>
        </w:rPr>
        <w:t>with a clear escalation process for fault/fix requirements.</w:t>
      </w:r>
    </w:p>
    <w:p w14:paraId="108C820C" w14:textId="77777777" w:rsidR="008E77B8" w:rsidRPr="008E77B8" w:rsidRDefault="008E77B8" w:rsidP="002238E9">
      <w:pPr>
        <w:pStyle w:val="Heading3"/>
        <w:rPr>
          <w:rFonts w:cs="Arial"/>
          <w:szCs w:val="22"/>
        </w:rPr>
      </w:pPr>
      <w:r w:rsidRPr="008E77B8">
        <w:rPr>
          <w:rFonts w:cs="Arial"/>
          <w:szCs w:val="22"/>
        </w:rPr>
        <w:t>The System should be updated regularly with bug fixes and feature releases.  The Institutions will have the ability to opt in or to opt out of each update and should be able to test new releases on a development server.</w:t>
      </w:r>
    </w:p>
    <w:p w14:paraId="7965C838" w14:textId="77777777" w:rsidR="008E77B8" w:rsidRPr="008E77B8" w:rsidRDefault="008E77B8" w:rsidP="002238E9">
      <w:pPr>
        <w:pStyle w:val="Heading3"/>
        <w:rPr>
          <w:rFonts w:cs="Arial"/>
          <w:szCs w:val="22"/>
        </w:rPr>
      </w:pPr>
      <w:r w:rsidRPr="008E77B8">
        <w:rPr>
          <w:rFonts w:cs="Arial"/>
          <w:szCs w:val="22"/>
        </w:rPr>
        <w:t xml:space="preserve">Migration into the new System should be fully supported and achievable within the timescale for the project.  </w:t>
      </w:r>
    </w:p>
    <w:p w14:paraId="50BEFF95" w14:textId="77777777" w:rsidR="008E77B8" w:rsidRPr="008E77B8" w:rsidRDefault="008E77B8" w:rsidP="002238E9">
      <w:pPr>
        <w:pStyle w:val="Heading3"/>
        <w:rPr>
          <w:rFonts w:cs="Arial"/>
          <w:szCs w:val="22"/>
        </w:rPr>
      </w:pPr>
      <w:r w:rsidRPr="008E77B8">
        <w:rPr>
          <w:rFonts w:cs="Arial"/>
          <w:szCs w:val="22"/>
        </w:rPr>
        <w:t>The Contractor shall provide comprehensive initial training for key role-holders within the System: e.g. System administrator, technical support staff and departmental champions.</w:t>
      </w:r>
    </w:p>
    <w:p w14:paraId="4A5FDF0E" w14:textId="6367367E" w:rsidR="008E77B8" w:rsidRPr="008E77B8" w:rsidRDefault="000E3C79" w:rsidP="002238E9">
      <w:pPr>
        <w:pStyle w:val="Heading3"/>
        <w:rPr>
          <w:rFonts w:cs="Arial"/>
          <w:szCs w:val="22"/>
        </w:rPr>
      </w:pPr>
      <w:r>
        <w:rPr>
          <w:rFonts w:cs="Arial"/>
          <w:szCs w:val="22"/>
        </w:rPr>
        <w:t>The Contractor shall provide</w:t>
      </w:r>
      <w:r w:rsidR="008E77B8" w:rsidRPr="008E77B8">
        <w:rPr>
          <w:rFonts w:cs="Arial"/>
          <w:szCs w:val="22"/>
        </w:rPr>
        <w:t xml:space="preserve"> community based activities take place both online and in person, that support your customers (webinars, conferences etc.).</w:t>
      </w:r>
    </w:p>
    <w:p w14:paraId="6DC0F690" w14:textId="77777777" w:rsidR="008E77B8" w:rsidRDefault="008E77B8" w:rsidP="002238E9">
      <w:pPr>
        <w:pStyle w:val="Heading3"/>
        <w:rPr>
          <w:rFonts w:cs="Arial"/>
          <w:szCs w:val="22"/>
        </w:rPr>
      </w:pPr>
      <w:r w:rsidRPr="008E77B8">
        <w:rPr>
          <w:rFonts w:cs="Arial"/>
          <w:szCs w:val="22"/>
        </w:rPr>
        <w:t>Training videos, webinars and documents, frequently asked questions should be readily available.</w:t>
      </w:r>
    </w:p>
    <w:p w14:paraId="7406E942" w14:textId="55126E86" w:rsidR="00B47BFC" w:rsidRPr="00B47BFC" w:rsidRDefault="00B47BFC" w:rsidP="00B47BFC">
      <w:pPr>
        <w:pStyle w:val="Heading3"/>
        <w:rPr>
          <w:rFonts w:cs="Arial"/>
          <w:szCs w:val="22"/>
        </w:rPr>
      </w:pPr>
      <w:r>
        <w:rPr>
          <w:rFonts w:cs="Arial"/>
          <w:szCs w:val="22"/>
        </w:rPr>
        <w:t>Institutions reserve the right to undertake and additional security audit of hosted services.</w:t>
      </w:r>
    </w:p>
    <w:p w14:paraId="3789477A" w14:textId="3367072E" w:rsidR="000E3C79" w:rsidRPr="00216F8D" w:rsidRDefault="000E3C79" w:rsidP="000E3C79">
      <w:pPr>
        <w:pStyle w:val="Heading2"/>
        <w:rPr>
          <w:b/>
        </w:rPr>
      </w:pPr>
      <w:r w:rsidRPr="00216F8D">
        <w:rPr>
          <w:b/>
        </w:rPr>
        <w:t>Developer Support</w:t>
      </w:r>
    </w:p>
    <w:p w14:paraId="10476E69" w14:textId="3F10DCA7" w:rsidR="000E3C79" w:rsidRDefault="000E3C79" w:rsidP="000E3C79">
      <w:pPr>
        <w:pStyle w:val="Heading3"/>
      </w:pPr>
      <w:r w:rsidRPr="000E3C79">
        <w:t xml:space="preserve">Documentation on how to integrate and extend the System.  </w:t>
      </w:r>
    </w:p>
    <w:p w14:paraId="04EDD9FF" w14:textId="7515BDB8" w:rsidR="000E3C79" w:rsidRPr="000E3C79" w:rsidRDefault="000E3C79" w:rsidP="000E3C79">
      <w:pPr>
        <w:pStyle w:val="Heading3"/>
      </w:pPr>
      <w:r w:rsidRPr="008E77B8">
        <w:t>Roadmap of System development should be available to the institutional customers.</w:t>
      </w:r>
    </w:p>
    <w:p w14:paraId="70A16403" w14:textId="6327FDFB" w:rsidR="000E3C79" w:rsidRPr="008E77B8" w:rsidRDefault="000E3C79" w:rsidP="000E3C79">
      <w:pPr>
        <w:pStyle w:val="Heading3"/>
      </w:pPr>
      <w:r w:rsidRPr="008E77B8">
        <w:t>The Contractor should provide up-to-date Application Programming Interfaces (API) documents that are publicly accessible including a support route for developers who have technical queries when developing extensions/integrations for the VLE.</w:t>
      </w:r>
    </w:p>
    <w:p w14:paraId="128B3BFE" w14:textId="1DC0946D" w:rsidR="000E3C79" w:rsidRPr="000E3C79" w:rsidRDefault="000E3C79" w:rsidP="000E3C79">
      <w:pPr>
        <w:pStyle w:val="Heading3"/>
      </w:pPr>
      <w:r w:rsidRPr="008E77B8">
        <w:t xml:space="preserve">Availability of a knowledge sharing developer community between Institutions would also be desirable. </w:t>
      </w:r>
    </w:p>
    <w:p w14:paraId="412FAD16" w14:textId="77777777" w:rsidR="008E77B8" w:rsidRPr="002238E9" w:rsidRDefault="008E77B8" w:rsidP="002238E9">
      <w:pPr>
        <w:pStyle w:val="Heading2"/>
        <w:rPr>
          <w:b/>
        </w:rPr>
      </w:pPr>
      <w:r w:rsidRPr="002238E9">
        <w:rPr>
          <w:b/>
        </w:rPr>
        <w:t>Managed Hosting Infrastructure</w:t>
      </w:r>
    </w:p>
    <w:p w14:paraId="5D0FED5F" w14:textId="4C6DD418" w:rsidR="008E77B8" w:rsidRDefault="008E77B8" w:rsidP="002238E9">
      <w:pPr>
        <w:pStyle w:val="Heading3"/>
      </w:pPr>
      <w:r w:rsidRPr="008E77B8">
        <w:t>Managed Hosting Service option</w:t>
      </w:r>
      <w:r w:rsidR="00C25B38">
        <w:t>, Cloud or equivalent,</w:t>
      </w:r>
      <w:r w:rsidRPr="008E77B8">
        <w:t xml:space="preserve"> available within European </w:t>
      </w:r>
      <w:r w:rsidR="000E3C79">
        <w:t xml:space="preserve">Economic Area (EEA). </w:t>
      </w:r>
      <w:r w:rsidRPr="008E77B8">
        <w:t xml:space="preserve">  </w:t>
      </w:r>
    </w:p>
    <w:p w14:paraId="71107129" w14:textId="0C188723" w:rsidR="00425F0A" w:rsidRPr="00425F0A" w:rsidRDefault="00425F0A" w:rsidP="00425F0A">
      <w:pPr>
        <w:pStyle w:val="Heading3"/>
      </w:pPr>
      <w:r w:rsidRPr="00425F0A">
        <w:t xml:space="preserve">The System should be available for use by staff and students for at least 99.8% of the time.  Further enhanced service level options for System availability would be desirable.  </w:t>
      </w:r>
    </w:p>
    <w:p w14:paraId="225B8297" w14:textId="77777777" w:rsidR="008E77B8" w:rsidRPr="008E77B8" w:rsidRDefault="008E77B8" w:rsidP="002238E9">
      <w:pPr>
        <w:pStyle w:val="Heading3"/>
      </w:pPr>
      <w:r w:rsidRPr="008E77B8">
        <w:t>Scalability to maintain all service level performance obligations in response to both planned and unanticipated levels of Customers.</w:t>
      </w:r>
    </w:p>
    <w:p w14:paraId="2BAD9E84" w14:textId="77777777" w:rsidR="008E77B8" w:rsidRPr="008E77B8" w:rsidRDefault="008E77B8" w:rsidP="002238E9">
      <w:pPr>
        <w:pStyle w:val="Heading3"/>
      </w:pPr>
      <w:r w:rsidRPr="008E77B8">
        <w:t>Development, Testing and Staging Environments should be available.</w:t>
      </w:r>
    </w:p>
    <w:p w14:paraId="290266FF" w14:textId="77777777" w:rsidR="008E77B8" w:rsidRPr="008E77B8" w:rsidRDefault="008E77B8" w:rsidP="002238E9">
      <w:pPr>
        <w:pStyle w:val="Heading3"/>
      </w:pPr>
      <w:r w:rsidRPr="008E77B8">
        <w:t>The Contractor should also include an on premise self-hosting option.</w:t>
      </w:r>
    </w:p>
    <w:p w14:paraId="5C36170E" w14:textId="77777777" w:rsidR="008E77B8" w:rsidRPr="00216F8D" w:rsidRDefault="008E77B8" w:rsidP="002238E9">
      <w:pPr>
        <w:pStyle w:val="Heading1"/>
      </w:pPr>
      <w:bookmarkStart w:id="10" w:name="_Data_Integrity,_Security"/>
      <w:bookmarkEnd w:id="10"/>
      <w:r w:rsidRPr="00216F8D">
        <w:t>Data Integrity, Security and Systems Functionality</w:t>
      </w:r>
    </w:p>
    <w:p w14:paraId="221F6CCC" w14:textId="77777777" w:rsidR="008E77B8" w:rsidRPr="008E77B8" w:rsidRDefault="008E77B8" w:rsidP="002238E9">
      <w:pPr>
        <w:pStyle w:val="SectionBodytext"/>
      </w:pPr>
      <w:r w:rsidRPr="008E77B8">
        <w:t>The Contractor System shall be compliant, without limitation to, the requirements below:</w:t>
      </w:r>
    </w:p>
    <w:p w14:paraId="2A9D997D" w14:textId="0017E06C" w:rsidR="008E77B8" w:rsidRPr="008E77B8" w:rsidRDefault="008E77B8" w:rsidP="002238E9">
      <w:pPr>
        <w:pStyle w:val="Heading3"/>
      </w:pPr>
      <w:r w:rsidRPr="008E77B8">
        <w:t>The use of Transport Layer Security (TLS) and other security measures to prevent data theft.</w:t>
      </w:r>
    </w:p>
    <w:p w14:paraId="7B161FE8" w14:textId="77777777" w:rsidR="008E77B8" w:rsidRPr="008E77B8" w:rsidRDefault="008E77B8" w:rsidP="002238E9">
      <w:pPr>
        <w:pStyle w:val="Heading3"/>
      </w:pPr>
      <w:r w:rsidRPr="008E77B8">
        <w:t>All personal data processed or controlled as part of the proposed solution, processed and/or controlled in accordance with current and future UK Data Protection legislation (currently Data Protection Act 1998).</w:t>
      </w:r>
    </w:p>
    <w:p w14:paraId="1AD2FCC5" w14:textId="77777777" w:rsidR="008E77B8" w:rsidRPr="008E77B8" w:rsidRDefault="008E77B8" w:rsidP="002238E9">
      <w:pPr>
        <w:pStyle w:val="Heading3"/>
      </w:pPr>
      <w:r w:rsidRPr="008E77B8">
        <w:t>Personal data must not be moved out with the European Economic Area without prior written consent from the institution.</w:t>
      </w:r>
    </w:p>
    <w:p w14:paraId="2B37E437" w14:textId="77777777" w:rsidR="008E77B8" w:rsidRPr="008E77B8" w:rsidRDefault="008E77B8" w:rsidP="002238E9">
      <w:pPr>
        <w:pStyle w:val="Heading3"/>
      </w:pPr>
      <w:r w:rsidRPr="008E77B8">
        <w:t>Robust compartments between records and information, ensuring users only have access to the intended information within the System.</w:t>
      </w:r>
    </w:p>
    <w:p w14:paraId="1A3AD2DF" w14:textId="77777777" w:rsidR="008E77B8" w:rsidRPr="008E77B8" w:rsidRDefault="008E77B8" w:rsidP="002238E9">
      <w:pPr>
        <w:pStyle w:val="Heading3"/>
      </w:pPr>
      <w:r w:rsidRPr="008E77B8">
        <w:t>Method to prevent unauthorised access to the System including user names and passwords, preferably obtained through integration with Active Directory or equivalent standard solution.</w:t>
      </w:r>
    </w:p>
    <w:p w14:paraId="5DB87406" w14:textId="77777777" w:rsidR="008E77B8" w:rsidRPr="008E77B8" w:rsidRDefault="008E77B8" w:rsidP="002238E9">
      <w:pPr>
        <w:pStyle w:val="Heading3"/>
      </w:pPr>
      <w:r w:rsidRPr="008E77B8">
        <w:t>Documentation of user access to operating System functions, including at a minimum, who requires access and what access is required.</w:t>
      </w:r>
    </w:p>
    <w:p w14:paraId="0848012B" w14:textId="77777777" w:rsidR="008E77B8" w:rsidRPr="008E77B8" w:rsidRDefault="008E77B8" w:rsidP="002238E9">
      <w:pPr>
        <w:pStyle w:val="Heading3"/>
      </w:pPr>
      <w:r w:rsidRPr="008E77B8">
        <w:t>System administrator capability to configure the security for either individual users or groups of users.  Security applied at a variety of levels and allows access for update and enquiry only at database level.</w:t>
      </w:r>
    </w:p>
    <w:p w14:paraId="4D61932E" w14:textId="77777777" w:rsidR="008E77B8" w:rsidRPr="008E77B8" w:rsidRDefault="008E77B8" w:rsidP="002238E9">
      <w:pPr>
        <w:pStyle w:val="Heading3"/>
      </w:pPr>
      <w:r w:rsidRPr="008E77B8">
        <w:t>Capability to write to the System database through a supported facility that is consistent with the System database schema and maintains data integrity.</w:t>
      </w:r>
    </w:p>
    <w:p w14:paraId="33582D45" w14:textId="1796ADFD" w:rsidR="008E77B8" w:rsidRPr="008E77B8" w:rsidRDefault="008E77B8" w:rsidP="002238E9">
      <w:pPr>
        <w:pStyle w:val="Heading3"/>
      </w:pPr>
      <w:r w:rsidRPr="008E77B8">
        <w:t>Documentation of any Sys</w:t>
      </w:r>
      <w:r w:rsidR="00290030">
        <w:t>tem management tasks required can</w:t>
      </w:r>
      <w:r w:rsidRPr="008E77B8">
        <w:t xml:space="preserve"> be performed either in-house or by the Contractor.</w:t>
      </w:r>
    </w:p>
    <w:p w14:paraId="58CD7693" w14:textId="77777777" w:rsidR="008E77B8" w:rsidRPr="008E77B8" w:rsidRDefault="008E77B8" w:rsidP="002238E9">
      <w:pPr>
        <w:pStyle w:val="Heading3"/>
      </w:pPr>
      <w:r w:rsidRPr="008E77B8">
        <w:t>Data changes subject to a protected audit trail, including, date and time of change, user identification and details of the change.</w:t>
      </w:r>
    </w:p>
    <w:p w14:paraId="5D4ABC51" w14:textId="77777777" w:rsidR="008E77B8" w:rsidRPr="008E77B8" w:rsidRDefault="008E77B8" w:rsidP="002238E9">
      <w:pPr>
        <w:pStyle w:val="Heading3"/>
      </w:pPr>
      <w:r w:rsidRPr="008E77B8">
        <w:t>Full System recovery/back out/roll back procedures in the event of failure.</w:t>
      </w:r>
    </w:p>
    <w:p w14:paraId="1727643E" w14:textId="77777777" w:rsidR="008E77B8" w:rsidRPr="008E77B8" w:rsidRDefault="008E77B8" w:rsidP="002238E9">
      <w:pPr>
        <w:pStyle w:val="Heading3"/>
      </w:pPr>
      <w:r w:rsidRPr="008E77B8">
        <w:t>Capability for Customer Systems administrators to archive data and maintain any service level quotas agreed with the Contractor.</w:t>
      </w:r>
    </w:p>
    <w:p w14:paraId="5D3D58D1" w14:textId="77777777" w:rsidR="008E77B8" w:rsidRPr="008E77B8" w:rsidRDefault="008E77B8" w:rsidP="002238E9">
      <w:pPr>
        <w:pStyle w:val="Heading1"/>
      </w:pPr>
      <w:bookmarkStart w:id="11" w:name="_Account_Management"/>
      <w:bookmarkEnd w:id="11"/>
      <w:r w:rsidRPr="008E77B8">
        <w:t xml:space="preserve">Account Management </w:t>
      </w:r>
    </w:p>
    <w:p w14:paraId="15852FE8" w14:textId="77777777" w:rsidR="008E77B8" w:rsidRPr="008E77B8" w:rsidRDefault="008E77B8" w:rsidP="002238E9">
      <w:pPr>
        <w:pStyle w:val="Heading2"/>
      </w:pPr>
      <w:r w:rsidRPr="008E77B8">
        <w:t xml:space="preserve">The Contractor shall provide a suitably qualified and experienced Individual to act as Account Manager for the Framework Agreement providing a Contractor point of contact for all matters relating to the management of the Framework Agreement.   </w:t>
      </w:r>
    </w:p>
    <w:p w14:paraId="318B92ED" w14:textId="77777777" w:rsidR="008E77B8" w:rsidRPr="008E77B8" w:rsidRDefault="008E77B8" w:rsidP="002238E9">
      <w:pPr>
        <w:pStyle w:val="Heading2"/>
      </w:pPr>
      <w:r w:rsidRPr="008E77B8">
        <w:t>The Account Manager will be required to perform the following duties under the Framework Agreement:</w:t>
      </w:r>
    </w:p>
    <w:p w14:paraId="5290580D" w14:textId="77777777" w:rsidR="008E77B8" w:rsidRPr="008E77B8" w:rsidRDefault="008E77B8" w:rsidP="002238E9">
      <w:pPr>
        <w:pStyle w:val="Heading3"/>
      </w:pPr>
      <w:r w:rsidRPr="008E77B8">
        <w:t>Attend review meetings, minimum of two (2) per annum, with the Authority’s nominated Contract Manager.   The timing of these meetings will be agreed as appropriate.</w:t>
      </w:r>
    </w:p>
    <w:p w14:paraId="068ECF48" w14:textId="77777777" w:rsidR="008E77B8" w:rsidRPr="008E77B8" w:rsidRDefault="008E77B8" w:rsidP="002238E9">
      <w:pPr>
        <w:pStyle w:val="Heading3"/>
      </w:pPr>
      <w:r w:rsidRPr="008E77B8">
        <w:t>Provide information on Key Performance Indicators and general performance against the contract deliverables.</w:t>
      </w:r>
    </w:p>
    <w:p w14:paraId="2FB2A77E" w14:textId="77777777" w:rsidR="008E77B8" w:rsidRPr="008E77B8" w:rsidRDefault="008E77B8" w:rsidP="002238E9">
      <w:pPr>
        <w:pStyle w:val="Heading3"/>
      </w:pPr>
      <w:r w:rsidRPr="008E77B8">
        <w:t>Attend meetings with/provide information for nominated officers within each Institution as required, to facilitate the individual contracts let under this Framework Agreement.</w:t>
      </w:r>
    </w:p>
    <w:p w14:paraId="73D0584C" w14:textId="77777777" w:rsidR="008E77B8" w:rsidRPr="008E77B8" w:rsidRDefault="008E77B8" w:rsidP="002238E9">
      <w:pPr>
        <w:pStyle w:val="Heading3"/>
      </w:pPr>
      <w:r w:rsidRPr="008E77B8">
        <w:t xml:space="preserve">Ensuring that all Institutions are made aware of key operational procedures and processes relating to the Framework Agreement, including but not limited to, key contacts (including invoice and billing contacts who will be knowledgeable of the contracts under this Framework Agreement), complaints procedures and pricing information. </w:t>
      </w:r>
    </w:p>
    <w:p w14:paraId="1AD85F69" w14:textId="77777777" w:rsidR="008E77B8" w:rsidRPr="008E77B8" w:rsidRDefault="008E77B8" w:rsidP="002238E9">
      <w:pPr>
        <w:pStyle w:val="Heading3"/>
      </w:pPr>
      <w:r w:rsidRPr="008E77B8">
        <w:t xml:space="preserve">Keeping the Authority and Institutions fully informed of any relevant changes in the regulations and legislation applicable to services provided under this Framework Agreement. </w:t>
      </w:r>
    </w:p>
    <w:p w14:paraId="79D10619" w14:textId="77777777" w:rsidR="008E77B8" w:rsidRPr="008E77B8" w:rsidRDefault="008E77B8" w:rsidP="002238E9">
      <w:pPr>
        <w:pStyle w:val="Heading3"/>
      </w:pPr>
      <w:r w:rsidRPr="008E77B8">
        <w:t xml:space="preserve">Co-ordinating the submission of management information, as detailed in this Schedule, and adhere to the requirements for involvement in strategic contract management.  </w:t>
      </w:r>
    </w:p>
    <w:p w14:paraId="62E3EDCF" w14:textId="77777777" w:rsidR="008E77B8" w:rsidRPr="008E77B8" w:rsidRDefault="008E77B8" w:rsidP="002238E9">
      <w:pPr>
        <w:pStyle w:val="Heading1"/>
      </w:pPr>
      <w:bookmarkStart w:id="12" w:name="_Contract_Management_and"/>
      <w:bookmarkEnd w:id="12"/>
      <w:r w:rsidRPr="008E77B8">
        <w:t>Contract Management and Performance Measurement</w:t>
      </w:r>
    </w:p>
    <w:p w14:paraId="5D26FA6F" w14:textId="77777777" w:rsidR="008E77B8" w:rsidRPr="008E77B8" w:rsidRDefault="008E77B8" w:rsidP="002238E9">
      <w:pPr>
        <w:pStyle w:val="SectionBodytext"/>
      </w:pPr>
      <w:r w:rsidRPr="008E77B8">
        <w:t xml:space="preserve">The Authority is responsible for contract and supplier management of the Framework </w:t>
      </w:r>
    </w:p>
    <w:p w14:paraId="3B62652B" w14:textId="77777777" w:rsidR="008E77B8" w:rsidRPr="008E77B8" w:rsidRDefault="008E77B8" w:rsidP="002238E9">
      <w:pPr>
        <w:pStyle w:val="SectionBodytext"/>
      </w:pPr>
      <w:r w:rsidRPr="008E77B8">
        <w:t xml:space="preserve">Agreement which will be undertaken through the use of various performance measures. The </w:t>
      </w:r>
    </w:p>
    <w:p w14:paraId="48CFEB3A" w14:textId="77777777" w:rsidR="008E77B8" w:rsidRPr="008E77B8" w:rsidRDefault="008E77B8" w:rsidP="002238E9">
      <w:pPr>
        <w:pStyle w:val="SectionBodytext"/>
      </w:pPr>
      <w:r w:rsidRPr="008E77B8">
        <w:t xml:space="preserve">Contractor will be expected to work proactively with the Authority to implement and ensure </w:t>
      </w:r>
    </w:p>
    <w:p w14:paraId="6B7FEA48" w14:textId="77777777" w:rsidR="008E77B8" w:rsidRPr="008E77B8" w:rsidRDefault="008E77B8" w:rsidP="002238E9">
      <w:pPr>
        <w:pStyle w:val="SectionBodytext"/>
      </w:pPr>
      <w:r w:rsidRPr="008E77B8">
        <w:t xml:space="preserve">effective contract delivery.  </w:t>
      </w:r>
      <w:r w:rsidRPr="008E77B8">
        <w:tab/>
      </w:r>
    </w:p>
    <w:p w14:paraId="254BC0AC" w14:textId="77777777" w:rsidR="008E77B8" w:rsidRPr="002238E9" w:rsidRDefault="008E77B8" w:rsidP="002238E9">
      <w:pPr>
        <w:pStyle w:val="Heading2"/>
        <w:rPr>
          <w:b/>
        </w:rPr>
      </w:pPr>
      <w:r w:rsidRPr="002238E9">
        <w:rPr>
          <w:b/>
        </w:rPr>
        <w:t>Level of Contract Management</w:t>
      </w:r>
    </w:p>
    <w:p w14:paraId="662B4B57" w14:textId="77777777" w:rsidR="008E77B8" w:rsidRPr="008E77B8" w:rsidRDefault="008E77B8" w:rsidP="00B47BFC">
      <w:pPr>
        <w:pStyle w:val="SectionBodytext"/>
      </w:pPr>
      <w:r w:rsidRPr="008E77B8">
        <w:t>The Authority has developed a standard approach to contract and supplier management. It is intended that implementation and use of a standardised approach will assist in streamlining processes, improve risk and opportunity awareness and management, improve supplier relationship management and increase contract compliance.</w:t>
      </w:r>
    </w:p>
    <w:p w14:paraId="25F6460A" w14:textId="77777777" w:rsidR="008E77B8" w:rsidRPr="008E77B8" w:rsidRDefault="008E77B8" w:rsidP="00EC5704">
      <w:pPr>
        <w:pStyle w:val="Heading3"/>
        <w:tabs>
          <w:tab w:val="clear" w:pos="-852"/>
          <w:tab w:val="num" w:pos="709"/>
        </w:tabs>
        <w:ind w:left="0" w:firstLine="0"/>
      </w:pPr>
      <w:r w:rsidRPr="008E77B8">
        <w:t>There are three levels of contract management being Routine, Managed and Strategic. The Authority has identified that the level of contract management for this Framework Agreement will be Strategic.</w:t>
      </w:r>
    </w:p>
    <w:p w14:paraId="73E9A3A7" w14:textId="77777777" w:rsidR="008E77B8" w:rsidRPr="002238E9" w:rsidRDefault="008E77B8" w:rsidP="002238E9">
      <w:pPr>
        <w:pStyle w:val="Heading2"/>
        <w:rPr>
          <w:b/>
        </w:rPr>
      </w:pPr>
      <w:r w:rsidRPr="002238E9">
        <w:rPr>
          <w:b/>
        </w:rPr>
        <w:t>Strategic</w:t>
      </w:r>
    </w:p>
    <w:p w14:paraId="65383C72" w14:textId="77777777" w:rsidR="008E77B8" w:rsidRPr="008E77B8" w:rsidRDefault="008E77B8" w:rsidP="002238E9">
      <w:pPr>
        <w:pStyle w:val="Heading3"/>
      </w:pPr>
      <w:r w:rsidRPr="008E77B8">
        <w:t>A Strategic contract management approach will mean that the Contractor must:</w:t>
      </w:r>
    </w:p>
    <w:p w14:paraId="3973C824" w14:textId="77777777" w:rsidR="008E77B8" w:rsidRPr="008E77B8" w:rsidRDefault="008E77B8" w:rsidP="002238E9">
      <w:pPr>
        <w:pStyle w:val="Heading3"/>
      </w:pPr>
      <w:r w:rsidRPr="008E77B8">
        <w:t xml:space="preserve">Supply all the requested management and performance information in the requested formats and timeline, unless otherwise agreed in advance with the Authority’s Procurement Manager. </w:t>
      </w:r>
    </w:p>
    <w:p w14:paraId="29D1E80B" w14:textId="77777777" w:rsidR="008E77B8" w:rsidRPr="008E77B8" w:rsidRDefault="008E77B8" w:rsidP="002238E9">
      <w:pPr>
        <w:pStyle w:val="Heading3"/>
      </w:pPr>
      <w:r w:rsidRPr="008E77B8">
        <w:t>Attend each contract review meeting with the Authority as requested by the Procurement Manager (minimum of two per year unless determined otherwise by the Procurement Manager).</w:t>
      </w:r>
    </w:p>
    <w:p w14:paraId="74BFB51A" w14:textId="77777777" w:rsidR="008E77B8" w:rsidRPr="008E77B8" w:rsidRDefault="008E77B8" w:rsidP="002238E9">
      <w:pPr>
        <w:pStyle w:val="Heading3"/>
      </w:pPr>
      <w:r w:rsidRPr="008E77B8">
        <w:t>Support the Procurement Manager in early identification of risks and/or opportunities associated with the delivery of the agreement.</w:t>
      </w:r>
    </w:p>
    <w:p w14:paraId="79938EBE" w14:textId="77777777" w:rsidR="008E77B8" w:rsidRPr="008E77B8" w:rsidRDefault="008E77B8" w:rsidP="002238E9">
      <w:pPr>
        <w:pStyle w:val="Heading3"/>
      </w:pPr>
      <w:r w:rsidRPr="008E77B8">
        <w:t>Meet defined Key Performance Indicators (KPIs) and Service Levels as set out in the ITT.</w:t>
      </w:r>
    </w:p>
    <w:p w14:paraId="2CD8093C" w14:textId="77777777" w:rsidR="008E77B8" w:rsidRPr="008E77B8" w:rsidRDefault="008E77B8" w:rsidP="002238E9">
      <w:pPr>
        <w:pStyle w:val="Heading3"/>
      </w:pPr>
      <w:r w:rsidRPr="008E77B8">
        <w:t>Be aware that the Procurement Manager may use performance measures such as Performance Scorecard and 360</w:t>
      </w:r>
      <w:r w:rsidRPr="008E77B8">
        <w:rPr>
          <w:rFonts w:ascii="Verdana" w:hAnsi="Verdana"/>
        </w:rPr>
        <w:t>°</w:t>
      </w:r>
      <w:r w:rsidRPr="008E77B8">
        <w:t xml:space="preserve"> user feedback to assess Contractor performance on the Framework Agreement and participate in feedback gathering.</w:t>
      </w:r>
    </w:p>
    <w:p w14:paraId="16FE1C09" w14:textId="2D9BF568" w:rsidR="008E77B8" w:rsidRPr="008E77B8" w:rsidRDefault="008E77B8" w:rsidP="008E77B8">
      <w:pPr>
        <w:pStyle w:val="Heading3"/>
      </w:pPr>
      <w:r w:rsidRPr="008E77B8">
        <w:t>Work proactively with the procurement manager to ensure contract compliance and maximise contract uptake.</w:t>
      </w:r>
    </w:p>
    <w:p w14:paraId="2D86318E" w14:textId="77777777" w:rsidR="008E77B8" w:rsidRPr="002238E9" w:rsidRDefault="008E77B8" w:rsidP="008E77B8">
      <w:pPr>
        <w:pStyle w:val="Heading2"/>
        <w:rPr>
          <w:b/>
        </w:rPr>
      </w:pPr>
      <w:r w:rsidRPr="002238E9">
        <w:rPr>
          <w:b/>
        </w:rPr>
        <w:t>Legislation</w:t>
      </w:r>
    </w:p>
    <w:p w14:paraId="1027D57A" w14:textId="77777777" w:rsidR="008E77B8" w:rsidRPr="008E77B8" w:rsidRDefault="008E77B8" w:rsidP="002238E9">
      <w:pPr>
        <w:pStyle w:val="Heading3"/>
      </w:pPr>
      <w:r w:rsidRPr="008E77B8">
        <w:t>The Contractor must comply with all relevant legislation, including potential amendments, within the state at all times.</w:t>
      </w:r>
    </w:p>
    <w:p w14:paraId="63356855" w14:textId="77777777" w:rsidR="00DB5101" w:rsidRDefault="00DB5101" w:rsidP="002238E9">
      <w:r>
        <w:br w:type="page"/>
      </w:r>
    </w:p>
    <w:p w14:paraId="2ECCB836" w14:textId="77777777" w:rsidR="00380585" w:rsidRPr="00B764B2" w:rsidRDefault="00380585" w:rsidP="00380585">
      <w:pPr>
        <w:rPr>
          <w:b/>
          <w:sz w:val="24"/>
          <w:szCs w:val="24"/>
          <w:u w:val="single"/>
        </w:rPr>
      </w:pPr>
      <w:r w:rsidRPr="00B764B2">
        <w:rPr>
          <w:b/>
          <w:sz w:val="24"/>
          <w:szCs w:val="24"/>
          <w:u w:val="single"/>
        </w:rPr>
        <w:t>SECTION 3 - TENDER QUESTIONS AND EVALUATION CRITERIA</w:t>
      </w:r>
    </w:p>
    <w:p w14:paraId="7EC3AACF" w14:textId="77777777" w:rsidR="00380585" w:rsidRPr="00B764B2" w:rsidRDefault="00380585" w:rsidP="00296B59">
      <w:pPr>
        <w:pStyle w:val="Heading1"/>
        <w:numPr>
          <w:ilvl w:val="0"/>
          <w:numId w:val="4"/>
        </w:numPr>
      </w:pPr>
      <w:bookmarkStart w:id="13" w:name="_Introduction"/>
      <w:bookmarkEnd w:id="13"/>
      <w:r w:rsidRPr="00B764B2">
        <w:t>Introduction</w:t>
      </w:r>
    </w:p>
    <w:p w14:paraId="337CB412" w14:textId="65C1C2F5" w:rsidR="00380585" w:rsidRPr="00674647" w:rsidRDefault="00380585" w:rsidP="008E77B8">
      <w:pPr>
        <w:pStyle w:val="Heading2"/>
      </w:pPr>
      <w:r w:rsidRPr="00674647">
        <w:t>The Authority is using the PCS-Tender eTendering platform for this procurement exercise. The ITT is only available i</w:t>
      </w:r>
      <w:r w:rsidR="006E484C">
        <w:t>n electronic form through this S</w:t>
      </w:r>
      <w:r w:rsidRPr="00674647">
        <w:t>ystem and all responses MUST be submitted electronically through PCS-Tender prior to the Tender Response deadline date. No hard copies or other means will be accepted.</w:t>
      </w:r>
    </w:p>
    <w:p w14:paraId="5214ED88" w14:textId="77777777" w:rsidR="00380585" w:rsidRPr="00674647" w:rsidRDefault="00380585" w:rsidP="00C8002D">
      <w:pPr>
        <w:pStyle w:val="Heading2"/>
      </w:pPr>
      <w:r w:rsidRPr="00674647">
        <w:t>The ITT Tender Response comprises of the Qualification Questionnaire</w:t>
      </w:r>
      <w:r w:rsidR="00140BD5" w:rsidRPr="00674647">
        <w:t xml:space="preserve">- </w:t>
      </w:r>
      <w:r w:rsidR="008D5466" w:rsidRPr="00674647">
        <w:t>[</w:t>
      </w:r>
      <w:r w:rsidR="00140BD5" w:rsidRPr="00674647">
        <w:t>ESPD</w:t>
      </w:r>
      <w:r w:rsidR="008D5466" w:rsidRPr="00674647">
        <w:t>]</w:t>
      </w:r>
      <w:r w:rsidRPr="00674647">
        <w:t>, Technical Questionnaire and Commercial Questionnaire. All relevant sections within these questionnaires must be completed as requested.</w:t>
      </w:r>
    </w:p>
    <w:p w14:paraId="07E94FD4" w14:textId="77777777" w:rsidR="00380585" w:rsidRPr="00674647" w:rsidRDefault="00380585" w:rsidP="00C8002D">
      <w:pPr>
        <w:pStyle w:val="Heading2"/>
      </w:pPr>
      <w:r w:rsidRPr="00674647">
        <w:t xml:space="preserve">The following </w:t>
      </w:r>
      <w:r w:rsidR="00A063BC" w:rsidRPr="00674647">
        <w:t xml:space="preserve">questions </w:t>
      </w:r>
      <w:r w:rsidRPr="00674647">
        <w:t xml:space="preserve">in this </w:t>
      </w:r>
      <w:r w:rsidR="00A063BC" w:rsidRPr="00674647">
        <w:t xml:space="preserve">section </w:t>
      </w:r>
      <w:r w:rsidRPr="00674647">
        <w:t xml:space="preserve">detail the minimum mandatory requirements, the technical questions for evaluation and the Pricing Schedule. </w:t>
      </w:r>
    </w:p>
    <w:p w14:paraId="1CA82E31" w14:textId="77777777" w:rsidR="00140BD5" w:rsidRPr="00B764B2" w:rsidRDefault="00140BD5" w:rsidP="00674647"/>
    <w:p w14:paraId="7B00CDC9" w14:textId="77777777" w:rsidR="00380585" w:rsidRPr="00B764B2" w:rsidRDefault="0003243A" w:rsidP="00674647">
      <w:pPr>
        <w:rPr>
          <w:b/>
          <w:u w:val="single"/>
        </w:rPr>
      </w:pPr>
      <w:r>
        <w:rPr>
          <w:b/>
          <w:u w:val="single"/>
        </w:rPr>
        <w:t>Qualification Questionnaire</w:t>
      </w:r>
      <w:r w:rsidR="00140BD5" w:rsidRPr="00B764B2">
        <w:rPr>
          <w:b/>
          <w:u w:val="single"/>
        </w:rPr>
        <w:t xml:space="preserve"> </w:t>
      </w:r>
      <w:r w:rsidR="00A063BC" w:rsidRPr="00B764B2">
        <w:rPr>
          <w:b/>
          <w:sz w:val="20"/>
          <w:u w:val="single"/>
        </w:rPr>
        <w:t>[</w:t>
      </w:r>
      <w:r w:rsidR="00140BD5" w:rsidRPr="00B764B2">
        <w:rPr>
          <w:b/>
          <w:u w:val="single"/>
        </w:rPr>
        <w:t>ESPD</w:t>
      </w:r>
      <w:r w:rsidR="00A063BC" w:rsidRPr="00B764B2">
        <w:rPr>
          <w:b/>
          <w:u w:val="single"/>
        </w:rPr>
        <w:t>]</w:t>
      </w:r>
      <w:r w:rsidR="00380585" w:rsidRPr="00B764B2">
        <w:rPr>
          <w:b/>
          <w:u w:val="single"/>
        </w:rPr>
        <w:t>= Minimum Standards</w:t>
      </w:r>
    </w:p>
    <w:p w14:paraId="68E39CDD" w14:textId="77777777" w:rsidR="00140BD5" w:rsidRPr="00B764B2" w:rsidRDefault="00140BD5" w:rsidP="00674647">
      <w:pPr>
        <w:rPr>
          <w:b/>
          <w:u w:val="single"/>
        </w:rPr>
      </w:pPr>
      <w:r w:rsidRPr="00B764B2">
        <w:rPr>
          <w:b/>
          <w:u w:val="single"/>
        </w:rPr>
        <w:t>Please complete the following questions in Qualification Questionnaire:</w:t>
      </w:r>
    </w:p>
    <w:p w14:paraId="7F05CC6F" w14:textId="77777777" w:rsidR="00485F8E" w:rsidRPr="00B764B2" w:rsidRDefault="00485F8E" w:rsidP="00674647">
      <w:pPr>
        <w:rPr>
          <w:rFonts w:cs="Arial"/>
        </w:rPr>
      </w:pPr>
    </w:p>
    <w:p w14:paraId="1C80ABB9" w14:textId="77777777" w:rsidR="00A063BC" w:rsidRPr="00674647" w:rsidRDefault="00A063BC" w:rsidP="00674647">
      <w:pPr>
        <w:rPr>
          <w:rFonts w:cs="Arial"/>
          <w:b/>
        </w:rPr>
      </w:pPr>
      <w:r w:rsidRPr="00674647">
        <w:rPr>
          <w:rFonts w:cs="Arial"/>
          <w:b/>
        </w:rPr>
        <w:t>Part II: Information concerning the bidder</w:t>
      </w:r>
    </w:p>
    <w:p w14:paraId="0F48932E" w14:textId="77777777" w:rsidR="00A063BC" w:rsidRPr="00B764B2" w:rsidRDefault="00A063BC" w:rsidP="00674647">
      <w:pPr>
        <w:rPr>
          <w:rFonts w:cs="Arial"/>
          <w:b/>
          <w:smallCaps/>
          <w:kern w:val="24"/>
        </w:rPr>
      </w:pPr>
      <w:r w:rsidRPr="00B764B2">
        <w:rPr>
          <w:rFonts w:cs="Arial"/>
          <w:kern w:val="24"/>
        </w:rPr>
        <w:t>A: Information about the bidder</w:t>
      </w:r>
    </w:p>
    <w:p w14:paraId="6E42FD50" w14:textId="77777777" w:rsidR="00A063BC" w:rsidRPr="00B764B2" w:rsidRDefault="00A063BC" w:rsidP="00674647">
      <w:pPr>
        <w:rPr>
          <w:rFonts w:cs="Arial"/>
          <w:b/>
          <w:smallCaps/>
          <w:kern w:val="24"/>
        </w:rPr>
      </w:pPr>
      <w:r w:rsidRPr="00B764B2">
        <w:rPr>
          <w:rFonts w:cs="Arial"/>
          <w:kern w:val="24"/>
        </w:rPr>
        <w:t>B: Information about representatives of the bidder</w:t>
      </w:r>
    </w:p>
    <w:p w14:paraId="1AFCC958" w14:textId="77777777" w:rsidR="00A063BC" w:rsidRPr="00B764B2" w:rsidRDefault="00A063BC" w:rsidP="00674647">
      <w:pPr>
        <w:rPr>
          <w:rFonts w:cs="Arial"/>
          <w:b/>
          <w:smallCaps/>
          <w:kern w:val="24"/>
        </w:rPr>
      </w:pPr>
      <w:r w:rsidRPr="00B764B2">
        <w:rPr>
          <w:rFonts w:cs="Arial"/>
          <w:kern w:val="24"/>
        </w:rPr>
        <w:t>C: Information about reliance on the capacities of other entities</w:t>
      </w:r>
    </w:p>
    <w:p w14:paraId="6EC5025E" w14:textId="77777777" w:rsidR="008D5466" w:rsidRPr="00B764B2" w:rsidRDefault="00A063BC" w:rsidP="00674647">
      <w:pPr>
        <w:rPr>
          <w:rFonts w:cs="Arial"/>
          <w:b/>
          <w:smallCaps/>
          <w:kern w:val="24"/>
        </w:rPr>
      </w:pPr>
      <w:r w:rsidRPr="00B764B2">
        <w:rPr>
          <w:rFonts w:cs="Arial"/>
          <w:kern w:val="24"/>
        </w:rPr>
        <w:t>D: Information concerning subcontractors on whose capacity the bidder does not rely</w:t>
      </w:r>
    </w:p>
    <w:p w14:paraId="16F8C258" w14:textId="77777777" w:rsidR="008D5466" w:rsidRPr="00B764B2" w:rsidRDefault="008D5466" w:rsidP="00674647">
      <w:pPr>
        <w:rPr>
          <w:lang w:eastAsia="fr-FR"/>
        </w:rPr>
      </w:pPr>
      <w:r w:rsidRPr="00B764B2">
        <w:rPr>
          <w:lang w:eastAsia="fr-FR"/>
        </w:rPr>
        <w:t>Inf</w:t>
      </w:r>
      <w:r w:rsidR="004748C2" w:rsidRPr="00B764B2">
        <w:rPr>
          <w:lang w:eastAsia="fr-FR"/>
        </w:rPr>
        <w:t>o</w:t>
      </w:r>
      <w:r w:rsidRPr="00B764B2">
        <w:rPr>
          <w:lang w:eastAsia="fr-FR"/>
        </w:rPr>
        <w:t>rmation in Part II must be completed but is for information only.</w:t>
      </w:r>
    </w:p>
    <w:p w14:paraId="6044568D" w14:textId="77777777" w:rsidR="00674647" w:rsidRDefault="00674647" w:rsidP="00674647">
      <w:pPr>
        <w:rPr>
          <w:rFonts w:cs="Arial"/>
        </w:rPr>
      </w:pPr>
    </w:p>
    <w:p w14:paraId="38B93BFC" w14:textId="77777777" w:rsidR="00A063BC" w:rsidRPr="00674647" w:rsidRDefault="00A063BC" w:rsidP="00674647">
      <w:pPr>
        <w:rPr>
          <w:rFonts w:cs="Arial"/>
          <w:b/>
        </w:rPr>
      </w:pPr>
      <w:r w:rsidRPr="00674647">
        <w:rPr>
          <w:rFonts w:cs="Arial"/>
          <w:b/>
        </w:rPr>
        <w:t>Part III: Exclusion grounds</w:t>
      </w:r>
    </w:p>
    <w:p w14:paraId="353F0771" w14:textId="77777777" w:rsidR="00A063BC" w:rsidRPr="00B764B2" w:rsidRDefault="00A063BC" w:rsidP="00674647">
      <w:pPr>
        <w:rPr>
          <w:rFonts w:cs="Arial"/>
          <w:b/>
          <w:smallCaps/>
          <w:kern w:val="24"/>
        </w:rPr>
      </w:pPr>
      <w:r w:rsidRPr="00B764B2">
        <w:rPr>
          <w:rFonts w:cs="Arial"/>
          <w:kern w:val="24"/>
        </w:rPr>
        <w:t>A: Grounds relating to criminal convictions</w:t>
      </w:r>
    </w:p>
    <w:p w14:paraId="4E0D4C2C" w14:textId="77777777" w:rsidR="00CF3944" w:rsidRPr="00B764B2" w:rsidRDefault="00A063BC" w:rsidP="00674647">
      <w:pPr>
        <w:rPr>
          <w:rFonts w:cs="Arial"/>
          <w:b/>
          <w:smallCaps/>
          <w:kern w:val="24"/>
        </w:rPr>
      </w:pPr>
      <w:r w:rsidRPr="00B764B2">
        <w:rPr>
          <w:rFonts w:cs="Arial"/>
          <w:kern w:val="24"/>
        </w:rPr>
        <w:t>B: Grounds relating to the payment of taxes or social security contributions</w:t>
      </w:r>
    </w:p>
    <w:p w14:paraId="6F3010D1" w14:textId="77777777" w:rsidR="00A063BC" w:rsidRPr="00B764B2" w:rsidRDefault="00CF3944" w:rsidP="00674647">
      <w:pPr>
        <w:rPr>
          <w:rFonts w:cs="Arial"/>
          <w:b/>
          <w:smallCaps/>
          <w:kern w:val="24"/>
        </w:rPr>
      </w:pPr>
      <w:r w:rsidRPr="00B764B2">
        <w:rPr>
          <w:rFonts w:cs="Arial"/>
          <w:kern w:val="24"/>
        </w:rPr>
        <w:t>C: Blacklisting</w:t>
      </w:r>
      <w:r w:rsidR="00A063BC" w:rsidRPr="00B764B2">
        <w:rPr>
          <w:rFonts w:cs="Arial"/>
          <w:kern w:val="24"/>
        </w:rPr>
        <w:t xml:space="preserve"> </w:t>
      </w:r>
    </w:p>
    <w:p w14:paraId="22022427" w14:textId="77777777" w:rsidR="00CF3944" w:rsidRPr="00B764B2" w:rsidRDefault="00CF3944" w:rsidP="00674647">
      <w:pPr>
        <w:rPr>
          <w:rFonts w:cs="Arial"/>
          <w:b/>
        </w:rPr>
      </w:pPr>
      <w:r w:rsidRPr="00B764B2">
        <w:rPr>
          <w:rFonts w:cs="Arial"/>
          <w:kern w:val="24"/>
        </w:rPr>
        <w:t>D: Grounds relating to insolvency, conflicts of interests or professional misconduct</w:t>
      </w:r>
    </w:p>
    <w:p w14:paraId="4731BA51" w14:textId="77777777" w:rsidR="00674647" w:rsidRDefault="00674647" w:rsidP="00674647">
      <w:pPr>
        <w:rPr>
          <w:rFonts w:cs="Arial"/>
        </w:rPr>
      </w:pPr>
    </w:p>
    <w:p w14:paraId="59C5A092" w14:textId="77777777" w:rsidR="00CF3944" w:rsidRPr="00674647" w:rsidRDefault="00CF3944" w:rsidP="00674647">
      <w:pPr>
        <w:rPr>
          <w:rFonts w:cs="Arial"/>
          <w:b/>
        </w:rPr>
      </w:pPr>
      <w:r w:rsidRPr="00674647">
        <w:rPr>
          <w:rFonts w:cs="Arial"/>
          <w:b/>
        </w:rPr>
        <w:t>Part IV: Selection criteria</w:t>
      </w:r>
    </w:p>
    <w:p w14:paraId="0DADF781" w14:textId="77777777" w:rsidR="00930498" w:rsidRPr="00B764B2" w:rsidRDefault="00CF3944" w:rsidP="00674647">
      <w:pPr>
        <w:rPr>
          <w:rFonts w:cs="Arial"/>
          <w:b/>
          <w:smallCaps/>
          <w:kern w:val="24"/>
        </w:rPr>
      </w:pPr>
      <w:r w:rsidRPr="00B764B2">
        <w:rPr>
          <w:rFonts w:cs="Arial"/>
          <w:kern w:val="24"/>
        </w:rPr>
        <w:t xml:space="preserve">B: </w:t>
      </w:r>
      <w:r w:rsidR="00000CAF" w:rsidRPr="00B764B2">
        <w:rPr>
          <w:rFonts w:cs="Arial"/>
          <w:kern w:val="24"/>
        </w:rPr>
        <w:t>E</w:t>
      </w:r>
      <w:r w:rsidRPr="00B764B2">
        <w:rPr>
          <w:rFonts w:cs="Arial"/>
          <w:kern w:val="24"/>
        </w:rPr>
        <w:t>conomic and financial standing</w:t>
      </w:r>
    </w:p>
    <w:p w14:paraId="65FCCA01" w14:textId="77777777" w:rsidR="00674647" w:rsidRDefault="00793C87" w:rsidP="00674647">
      <w:r w:rsidRPr="00B764B2">
        <w:t>Please refer to question</w:t>
      </w:r>
      <w:r w:rsidR="00A60961" w:rsidRPr="00B764B2">
        <w:t xml:space="preserve"> within</w:t>
      </w:r>
      <w:r w:rsidRPr="00B764B2">
        <w:t xml:space="preserve"> </w:t>
      </w:r>
      <w:r w:rsidR="00A60961" w:rsidRPr="00B764B2">
        <w:t xml:space="preserve">4B.5 </w:t>
      </w:r>
      <w:r w:rsidRPr="00B764B2">
        <w:t>of the ESPD</w:t>
      </w:r>
      <w:r w:rsidR="00A60961" w:rsidRPr="00B764B2">
        <w:t xml:space="preserve"> and E</w:t>
      </w:r>
      <w:r w:rsidR="00674647">
        <w:t>conomic and financial standing</w:t>
      </w:r>
    </w:p>
    <w:p w14:paraId="2DDE86C5" w14:textId="77777777" w:rsidR="00793C87" w:rsidRPr="00B764B2" w:rsidRDefault="00A60961" w:rsidP="00674647">
      <w:r w:rsidRPr="00B764B2">
        <w:t>section of the Contract Notice</w:t>
      </w:r>
    </w:p>
    <w:p w14:paraId="4CE4F773" w14:textId="77777777" w:rsidR="00402DFC" w:rsidRPr="00B764B2" w:rsidRDefault="00402DFC" w:rsidP="00674647">
      <w:pPr>
        <w:rPr>
          <w:lang w:eastAsia="fr-FR"/>
        </w:rPr>
      </w:pPr>
      <w:r w:rsidRPr="00B764B2">
        <w:rPr>
          <w:lang w:eastAsia="fr-FR"/>
        </w:rPr>
        <w:t>Bidders must confirm they can provide the following</w:t>
      </w:r>
      <w:r w:rsidRPr="00B764B2">
        <w:t xml:space="preserve"> supporting evidence </w:t>
      </w:r>
      <w:r w:rsidR="00A8172B" w:rsidRPr="00B764B2">
        <w:t>prior to</w:t>
      </w:r>
      <w:r w:rsidRPr="00B764B2">
        <w:t xml:space="preserve"> award</w:t>
      </w:r>
      <w:r w:rsidR="00E52B45" w:rsidRPr="00B764B2">
        <w:t>:</w:t>
      </w:r>
      <w:r w:rsidRPr="00B764B2">
        <w:rPr>
          <w:lang w:eastAsia="fr-FR"/>
        </w:rPr>
        <w:t xml:space="preserve"> </w:t>
      </w:r>
    </w:p>
    <w:p w14:paraId="06F5E659" w14:textId="77777777" w:rsidR="00402DFC" w:rsidRPr="00B764B2" w:rsidRDefault="00402DFC" w:rsidP="00674647">
      <w:r w:rsidRPr="00B764B2">
        <w:t xml:space="preserve">Employer's (Compulsory) Liability Insurance* = </w:t>
      </w:r>
      <w:r w:rsidR="00461219" w:rsidRPr="00B764B2">
        <w:t>£</w:t>
      </w:r>
      <w:r w:rsidRPr="00B764B2">
        <w:t>5</w:t>
      </w:r>
      <w:r w:rsidR="00461219" w:rsidRPr="00B764B2">
        <w:t xml:space="preserve"> </w:t>
      </w:r>
      <w:r w:rsidRPr="00B764B2">
        <w:t>M</w:t>
      </w:r>
      <w:r w:rsidR="00461219" w:rsidRPr="00B764B2">
        <w:t>illion</w:t>
      </w:r>
    </w:p>
    <w:p w14:paraId="2292A991" w14:textId="77777777" w:rsidR="00402DFC" w:rsidRPr="00B764B2" w:rsidRDefault="00402DFC" w:rsidP="00674647">
      <w:r w:rsidRPr="00CB0E51">
        <w:t>Product Liability Insurance = £</w:t>
      </w:r>
      <w:r w:rsidR="00461219" w:rsidRPr="00CB0E51">
        <w:t xml:space="preserve">5 </w:t>
      </w:r>
      <w:r w:rsidRPr="00CB0E51">
        <w:t>M</w:t>
      </w:r>
      <w:r w:rsidR="00461219" w:rsidRPr="00CB0E51">
        <w:t>illion</w:t>
      </w:r>
      <w:r w:rsidRPr="00B764B2">
        <w:t xml:space="preserve"> </w:t>
      </w:r>
    </w:p>
    <w:p w14:paraId="6F7FF338" w14:textId="77777777" w:rsidR="00402DFC" w:rsidRPr="00B764B2" w:rsidRDefault="00402DFC" w:rsidP="00674647">
      <w:r w:rsidRPr="00B764B2">
        <w:t>Public Liability Insurance = £</w:t>
      </w:r>
      <w:r w:rsidR="00461219" w:rsidRPr="00B764B2">
        <w:t xml:space="preserve">5 </w:t>
      </w:r>
      <w:r w:rsidRPr="00B764B2">
        <w:t>M</w:t>
      </w:r>
      <w:r w:rsidR="00461219" w:rsidRPr="00B764B2">
        <w:t>illion</w:t>
      </w:r>
    </w:p>
    <w:p w14:paraId="6AAEA150" w14:textId="3D8BF815" w:rsidR="0066480B" w:rsidRDefault="0066480B" w:rsidP="00674647">
      <w:r w:rsidRPr="00251487">
        <w:t xml:space="preserve">Professional Indemnity = </w:t>
      </w:r>
      <w:r w:rsidRPr="00D953DE">
        <w:t>£2 Million</w:t>
      </w:r>
    </w:p>
    <w:p w14:paraId="486F69C8" w14:textId="77777777" w:rsidR="0066480B" w:rsidRPr="00B764B2" w:rsidRDefault="0066480B" w:rsidP="00674647"/>
    <w:p w14:paraId="6AE72AD9" w14:textId="77777777" w:rsidR="00674647" w:rsidRDefault="00A60961" w:rsidP="00674647">
      <w:pPr>
        <w:jc w:val="left"/>
      </w:pPr>
      <w:r w:rsidRPr="00B764B2">
        <w:t>Please refer to question within 4B.6 of the E</w:t>
      </w:r>
      <w:r w:rsidR="00674647">
        <w:t>SPD and Economic and financial standing</w:t>
      </w:r>
    </w:p>
    <w:p w14:paraId="4163A9E3" w14:textId="77777777" w:rsidR="00A60961" w:rsidRPr="00B764B2" w:rsidRDefault="00A60961" w:rsidP="00674647">
      <w:pPr>
        <w:jc w:val="left"/>
      </w:pPr>
      <w:r w:rsidRPr="00B764B2">
        <w:t>section of the Contract Notice</w:t>
      </w:r>
    </w:p>
    <w:p w14:paraId="27794867" w14:textId="77777777" w:rsidR="00674647" w:rsidRDefault="00A60961" w:rsidP="00674647">
      <w:pPr>
        <w:jc w:val="left"/>
      </w:pPr>
      <w:r w:rsidRPr="00B764B2">
        <w:t>The successfu</w:t>
      </w:r>
      <w:r w:rsidR="00203D79" w:rsidRPr="00B764B2">
        <w:t>l Contractor will</w:t>
      </w:r>
      <w:r w:rsidRPr="00B764B2">
        <w:t xml:space="preserve"> be required to provid</w:t>
      </w:r>
      <w:r w:rsidR="00CD73B1">
        <w:t xml:space="preserve">e 2 years audited accounts, or </w:t>
      </w:r>
    </w:p>
    <w:p w14:paraId="72DB5036" w14:textId="77777777" w:rsidR="00A60961" w:rsidRPr="00B764B2" w:rsidRDefault="00A60961" w:rsidP="00674647">
      <w:pPr>
        <w:jc w:val="left"/>
      </w:pPr>
      <w:r w:rsidRPr="00B764B2">
        <w:t>equivalent if awarded to the Framework Agreement</w:t>
      </w:r>
    </w:p>
    <w:p w14:paraId="62A11BAE" w14:textId="77777777" w:rsidR="00A60961" w:rsidRPr="00B764B2" w:rsidRDefault="00A60961" w:rsidP="00674647"/>
    <w:p w14:paraId="59AFC9FC" w14:textId="77777777" w:rsidR="0077779F" w:rsidRPr="00B764B2" w:rsidRDefault="0077779F" w:rsidP="00674647">
      <w:pPr>
        <w:rPr>
          <w:lang w:eastAsia="fr-FR"/>
        </w:rPr>
      </w:pPr>
      <w:r w:rsidRPr="00B764B2">
        <w:rPr>
          <w:lang w:eastAsia="fr-FR"/>
        </w:rPr>
        <w:t xml:space="preserve">Please refer to PCS Contract Notice: </w:t>
      </w:r>
      <w:r w:rsidR="00A60961" w:rsidRPr="00B764B2">
        <w:rPr>
          <w:rFonts w:cs="Arial"/>
          <w:smallCaps/>
          <w:kern w:val="24"/>
        </w:rPr>
        <w:t>Economic and financial standing</w:t>
      </w:r>
    </w:p>
    <w:p w14:paraId="47E4B857" w14:textId="77777777" w:rsidR="00B76494" w:rsidRPr="00B764B2" w:rsidRDefault="00B76494" w:rsidP="00674647">
      <w:pPr>
        <w:rPr>
          <w:lang w:eastAsia="fr-FR"/>
        </w:rPr>
      </w:pPr>
      <w:r w:rsidRPr="00B764B2">
        <w:rPr>
          <w:lang w:eastAsia="fr-FR"/>
        </w:rPr>
        <w:t xml:space="preserve">Information provided </w:t>
      </w:r>
      <w:r w:rsidR="008D5466" w:rsidRPr="00B764B2">
        <w:rPr>
          <w:lang w:eastAsia="fr-FR"/>
        </w:rPr>
        <w:t xml:space="preserve">for Part </w:t>
      </w:r>
      <w:r w:rsidRPr="00B764B2">
        <w:rPr>
          <w:lang w:eastAsia="fr-FR"/>
        </w:rPr>
        <w:t>III and IV will be assessed on a Pass/Fail basis, where:</w:t>
      </w:r>
    </w:p>
    <w:p w14:paraId="2C80BBBF" w14:textId="77777777" w:rsidR="00B76494" w:rsidRPr="00B764B2" w:rsidRDefault="00B76494" w:rsidP="00674647">
      <w:pPr>
        <w:rPr>
          <w:lang w:eastAsia="fr-FR"/>
        </w:rPr>
      </w:pPr>
      <w:r w:rsidRPr="00B764B2">
        <w:rPr>
          <w:lang w:eastAsia="fr-FR"/>
        </w:rPr>
        <w:t>Pass= meets requirements as stated in Contract Notice</w:t>
      </w:r>
    </w:p>
    <w:p w14:paraId="61AF5591" w14:textId="77777777" w:rsidR="00442991" w:rsidRPr="00B764B2" w:rsidRDefault="00B76494" w:rsidP="00674647">
      <w:r w:rsidRPr="00B764B2">
        <w:rPr>
          <w:lang w:eastAsia="fr-FR"/>
        </w:rPr>
        <w:t>Fail=does not meet requirements as stated in Contract Notice</w:t>
      </w:r>
      <w:r w:rsidR="00F23164" w:rsidRPr="00B764B2">
        <w:t xml:space="preserve">  </w:t>
      </w:r>
    </w:p>
    <w:p w14:paraId="1E728AF2" w14:textId="77777777" w:rsidR="00906709" w:rsidRPr="00B764B2" w:rsidRDefault="00906709" w:rsidP="00674647">
      <w:pPr>
        <w:rPr>
          <w:lang w:eastAsia="fr-FR"/>
        </w:rPr>
      </w:pPr>
      <w:r w:rsidRPr="00B764B2">
        <w:rPr>
          <w:lang w:eastAsia="fr-FR"/>
        </w:rPr>
        <w:br w:type="page"/>
      </w:r>
    </w:p>
    <w:p w14:paraId="2B4935A4" w14:textId="77777777" w:rsidR="00380585" w:rsidRPr="001849AD" w:rsidRDefault="00380585" w:rsidP="001849AD">
      <w:pPr>
        <w:pStyle w:val="Title"/>
        <w:rPr>
          <w:sz w:val="28"/>
          <w:szCs w:val="28"/>
          <w:u w:val="single"/>
        </w:rPr>
      </w:pPr>
      <w:r w:rsidRPr="001849AD">
        <w:rPr>
          <w:sz w:val="28"/>
          <w:szCs w:val="28"/>
          <w:u w:val="single"/>
        </w:rPr>
        <w:t>Technical Questionnaire</w:t>
      </w:r>
    </w:p>
    <w:p w14:paraId="329B923F" w14:textId="44720F7E" w:rsidR="00AF570A" w:rsidRPr="00AF570A" w:rsidRDefault="00AF570A" w:rsidP="009C78AE">
      <w:pPr>
        <w:pStyle w:val="Heading1"/>
        <w:numPr>
          <w:ilvl w:val="0"/>
          <w:numId w:val="7"/>
        </w:numPr>
      </w:pPr>
      <w:r w:rsidRPr="00AF570A">
        <w:t>Compliance with Specification</w:t>
      </w:r>
      <w:r w:rsidR="0019190C">
        <w:t xml:space="preserve"> (Weighting 8</w:t>
      </w:r>
      <w:r w:rsidR="00090E83">
        <w:t>%)</w:t>
      </w:r>
    </w:p>
    <w:p w14:paraId="1546412C" w14:textId="46D82477" w:rsidR="00A10B1A" w:rsidRPr="00A10B1A" w:rsidRDefault="00A10B1A" w:rsidP="00A10B1A">
      <w:r w:rsidRPr="00A10B1A">
        <w:t xml:space="preserve">Tenderers should complete the attached grid, Appendix </w:t>
      </w:r>
      <w:r w:rsidR="008A0FE0" w:rsidRPr="0048717E">
        <w:t>G</w:t>
      </w:r>
      <w:r w:rsidRPr="0048717E">
        <w:t>,</w:t>
      </w:r>
      <w:r w:rsidRPr="00A10B1A">
        <w:t xml:space="preserve"> to demonstrate how their</w:t>
      </w:r>
      <w:r w:rsidR="006E484C">
        <w:t xml:space="preserve"> proposed S</w:t>
      </w:r>
      <w:r w:rsidR="007821EE">
        <w:t>ystem aligns to the S</w:t>
      </w:r>
      <w:r w:rsidRPr="00A10B1A">
        <w:t xml:space="preserve">pecification </w:t>
      </w:r>
      <w:r w:rsidR="007821EE">
        <w:t xml:space="preserve">of Requirements main section 2.0 above </w:t>
      </w:r>
      <w:r w:rsidRPr="00A10B1A">
        <w:t>and what capabilities ar</w:t>
      </w:r>
      <w:r w:rsidR="006E484C">
        <w:t xml:space="preserve">e provided as part of the core </w:t>
      </w:r>
      <w:r w:rsidR="00A938F1">
        <w:t>S</w:t>
      </w:r>
      <w:r w:rsidRPr="00A10B1A">
        <w:t xml:space="preserve">ystem.  The items within the grid are scored on the basis of their </w:t>
      </w:r>
      <w:r w:rsidRPr="002D1238">
        <w:t>desirability to the sector</w:t>
      </w:r>
      <w:r w:rsidRPr="00A10B1A">
        <w:t xml:space="preserve">.  Tenderers must indicate if each item within </w:t>
      </w:r>
      <w:r w:rsidR="004F0C90">
        <w:t>the specification is “</w:t>
      </w:r>
      <w:r w:rsidRPr="00A10B1A">
        <w:t>Available</w:t>
      </w:r>
      <w:r w:rsidR="00C00D15">
        <w:t xml:space="preserve"> </w:t>
      </w:r>
      <w:r w:rsidR="004F0C90">
        <w:t xml:space="preserve">within a </w:t>
      </w:r>
      <w:r w:rsidR="00C00D15">
        <w:t>Live Implementation</w:t>
      </w:r>
      <w:r w:rsidR="00C66C01">
        <w:t>”</w:t>
      </w:r>
      <w:r w:rsidRPr="00A10B1A">
        <w:t xml:space="preserve">, </w:t>
      </w:r>
      <w:r w:rsidR="00C66C01">
        <w:t>“</w:t>
      </w:r>
      <w:r w:rsidR="004125C2">
        <w:t>In D</w:t>
      </w:r>
      <w:r w:rsidRPr="00A10B1A">
        <w:t>evelopment</w:t>
      </w:r>
      <w:r w:rsidR="00C66C01">
        <w:t>”</w:t>
      </w:r>
      <w:r w:rsidRPr="00A10B1A">
        <w:t xml:space="preserve"> or </w:t>
      </w:r>
      <w:r w:rsidR="00C66C01">
        <w:t>“</w:t>
      </w:r>
      <w:r w:rsidRPr="00A10B1A">
        <w:t xml:space="preserve">Unavailable”. </w:t>
      </w:r>
      <w:r w:rsidR="00C00D15">
        <w:t xml:space="preserve"> </w:t>
      </w:r>
      <w:r w:rsidRPr="00A10B1A">
        <w:t>Each item of specification within the grid will then be scored using a multiplier and totalled.  The sum of the scores against each item will then be scored pro-rata using the formula:</w:t>
      </w:r>
    </w:p>
    <w:p w14:paraId="433EF6FF" w14:textId="745F37D8" w:rsidR="00A10B1A" w:rsidRPr="00A10B1A" w:rsidRDefault="00A10B1A" w:rsidP="00A10B1A">
      <w:pPr>
        <w:ind w:left="720"/>
        <w:jc w:val="center"/>
      </w:pPr>
      <w:r w:rsidRPr="00A10B1A">
        <w:t xml:space="preserve">Actual Score/Highest score * </w:t>
      </w:r>
      <w:r w:rsidR="00B57F61">
        <w:t xml:space="preserve">Weighted </w:t>
      </w:r>
      <w:r w:rsidR="00DF6806">
        <w:t xml:space="preserve">Percentage </w:t>
      </w:r>
      <w:r w:rsidR="003C070E">
        <w:t>Marks Allocated</w:t>
      </w:r>
      <w:r w:rsidR="007606B7">
        <w:t xml:space="preserve"> </w:t>
      </w:r>
    </w:p>
    <w:p w14:paraId="61966F73" w14:textId="5F519595" w:rsidR="00C118A7" w:rsidRDefault="00A10B1A" w:rsidP="00A10B1A">
      <w:r w:rsidRPr="00A10B1A">
        <w:t>Tenderers must complete all boxes in the grid that are highlighted in yellow.  Comments may be entered</w:t>
      </w:r>
      <w:r w:rsidR="002D03C2">
        <w:t>,</w:t>
      </w:r>
      <w:r w:rsidRPr="00A10B1A">
        <w:t xml:space="preserve"> in the c</w:t>
      </w:r>
      <w:r w:rsidR="002D03C2">
        <w:t xml:space="preserve">olumn titled “Comments/Remarks”, to summarise the extent to which your solution delivers the Specification of Requirements. </w:t>
      </w:r>
    </w:p>
    <w:p w14:paraId="6D1ABD3D" w14:textId="0BC67265" w:rsidR="00AF570A" w:rsidRPr="00AF570A" w:rsidRDefault="00AF570A" w:rsidP="00AF570A">
      <w:pPr>
        <w:pStyle w:val="Heading1"/>
      </w:pPr>
      <w:r w:rsidRPr="00AF570A">
        <w:t>Core VLE Functionality</w:t>
      </w:r>
      <w:r w:rsidR="00607E0A">
        <w:t xml:space="preserve"> (Weighting 9</w:t>
      </w:r>
      <w:r w:rsidR="00090E83">
        <w:t>%)</w:t>
      </w:r>
    </w:p>
    <w:p w14:paraId="35DAC69F" w14:textId="77777777" w:rsidR="00B20C64" w:rsidRDefault="00B20C64" w:rsidP="00CE5319">
      <w:pPr>
        <w:pStyle w:val="Heading2"/>
      </w:pPr>
      <w:r>
        <w:t>System functionality</w:t>
      </w:r>
    </w:p>
    <w:p w14:paraId="2502862C" w14:textId="77777777" w:rsidR="00B20C64" w:rsidRDefault="00B20C64" w:rsidP="00C118A7">
      <w:r>
        <w:t xml:space="preserve">Tenderers must provide a summary of their proposed solution to cover the following areas of functionality, outlining the overall feature and benefits of the solution.  Answers should address </w:t>
      </w:r>
      <w:r w:rsidRPr="00B20C64">
        <w:t>and without limitation:</w:t>
      </w:r>
    </w:p>
    <w:p w14:paraId="6CE2199A" w14:textId="77777777" w:rsidR="00B20C64" w:rsidRDefault="00B20C64" w:rsidP="007A29B8">
      <w:pPr>
        <w:pStyle w:val="ListParagraph"/>
      </w:pPr>
      <w:r>
        <w:t>Design and interface</w:t>
      </w:r>
    </w:p>
    <w:p w14:paraId="38FD1E0F" w14:textId="77777777" w:rsidR="00B20C64" w:rsidRDefault="00B20C64" w:rsidP="007A29B8">
      <w:pPr>
        <w:pStyle w:val="ListParagraph"/>
      </w:pPr>
      <w:r>
        <w:t>Content management</w:t>
      </w:r>
    </w:p>
    <w:p w14:paraId="6176FBB1" w14:textId="77777777" w:rsidR="00B20C64" w:rsidRDefault="00B20C64" w:rsidP="007A29B8">
      <w:pPr>
        <w:pStyle w:val="ListParagraph"/>
      </w:pPr>
      <w:r>
        <w:t>Assessment and Feedback</w:t>
      </w:r>
    </w:p>
    <w:p w14:paraId="2CA291C4" w14:textId="762700C5" w:rsidR="00B20C64" w:rsidRDefault="00B20C64" w:rsidP="007A29B8">
      <w:pPr>
        <w:pStyle w:val="ListParagraph"/>
      </w:pPr>
      <w:r>
        <w:t>Communication and collaboration</w:t>
      </w:r>
      <w:r w:rsidR="00CB0E51">
        <w:t xml:space="preserve"> </w:t>
      </w:r>
      <w:r w:rsidR="00CB0E51" w:rsidRPr="00A53890">
        <w:t>including a clear understanding of the extent to which these are proprietary or sourced from third parties?</w:t>
      </w:r>
    </w:p>
    <w:p w14:paraId="73BEC539" w14:textId="77777777" w:rsidR="00B20C64" w:rsidRDefault="00B20C64" w:rsidP="007A29B8">
      <w:pPr>
        <w:pStyle w:val="ListParagraph"/>
      </w:pPr>
      <w:r>
        <w:t>Course management</w:t>
      </w:r>
    </w:p>
    <w:p w14:paraId="78A0FE4F" w14:textId="77777777" w:rsidR="00B20C64" w:rsidRDefault="00B20C64" w:rsidP="007A29B8">
      <w:pPr>
        <w:pStyle w:val="ListParagraph"/>
      </w:pPr>
      <w:r>
        <w:t>Administration functions</w:t>
      </w:r>
    </w:p>
    <w:p w14:paraId="53491E66" w14:textId="77777777" w:rsidR="00F117E5" w:rsidRPr="00F117E5" w:rsidRDefault="00F117E5" w:rsidP="007A29B8">
      <w:pPr>
        <w:pStyle w:val="ListParagraph"/>
      </w:pPr>
      <w:r>
        <w:t>Just in time contextual System help</w:t>
      </w:r>
    </w:p>
    <w:p w14:paraId="7922D8E0" w14:textId="30438396" w:rsidR="007764BA" w:rsidRDefault="007764BA" w:rsidP="00B20C64">
      <w:pPr>
        <w:rPr>
          <w:b/>
          <w:highlight w:val="yellow"/>
        </w:rPr>
      </w:pPr>
    </w:p>
    <w:p w14:paraId="656EEEED" w14:textId="77777777" w:rsidR="00C118A7" w:rsidRPr="00C118A7" w:rsidRDefault="00C118A7" w:rsidP="00C118A7">
      <w:r w:rsidRPr="00C118A7">
        <w:t>This question will be evaluated and scored using the scoring methodology below.</w:t>
      </w:r>
    </w:p>
    <w:p w14:paraId="6BD0F20E" w14:textId="77777777" w:rsidR="00C118A7" w:rsidRPr="00C118A7" w:rsidRDefault="00C118A7" w:rsidP="008E1677">
      <w:pPr>
        <w:rPr>
          <w:b/>
          <w:u w:val="single"/>
        </w:rPr>
      </w:pPr>
      <w:r w:rsidRPr="00C118A7">
        <w:rPr>
          <w:b/>
        </w:rPr>
        <w:tab/>
      </w:r>
      <w:r w:rsidRPr="00C118A7">
        <w:rPr>
          <w:b/>
          <w:u w:val="single"/>
        </w:rPr>
        <w:t>Scoring Methodology</w:t>
      </w:r>
    </w:p>
    <w:p w14:paraId="49E2FBDF" w14:textId="77777777" w:rsidR="00C118A7" w:rsidRDefault="00C118A7" w:rsidP="00C118A7"/>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6499"/>
      </w:tblGrid>
      <w:tr w:rsidR="00C118A7" w:rsidRPr="00C118A7" w14:paraId="6A162B2E" w14:textId="77777777" w:rsidTr="00CD7003">
        <w:tc>
          <w:tcPr>
            <w:tcW w:w="2442" w:type="dxa"/>
            <w:shd w:val="clear" w:color="auto" w:fill="auto"/>
            <w:vAlign w:val="center"/>
          </w:tcPr>
          <w:p w14:paraId="23E56C5C" w14:textId="77777777" w:rsidR="00C118A7" w:rsidRPr="008608BA" w:rsidRDefault="00C118A7" w:rsidP="008608BA">
            <w:pPr>
              <w:rPr>
                <w:b/>
              </w:rPr>
            </w:pPr>
            <w:r w:rsidRPr="008608BA">
              <w:rPr>
                <w:b/>
              </w:rPr>
              <w:t>3 - Good</w:t>
            </w:r>
          </w:p>
        </w:tc>
        <w:tc>
          <w:tcPr>
            <w:tcW w:w="6774" w:type="dxa"/>
            <w:shd w:val="clear" w:color="auto" w:fill="auto"/>
          </w:tcPr>
          <w:p w14:paraId="337AD0CD" w14:textId="77777777" w:rsidR="00C118A7" w:rsidRPr="00C118A7" w:rsidRDefault="00C118A7" w:rsidP="00CD7003">
            <w:r w:rsidRPr="00C118A7">
              <w:t>The Tenderer’s response is comp</w:t>
            </w:r>
            <w:r w:rsidR="00B20C64">
              <w:t xml:space="preserve">rehensive, clearly demonstrating a </w:t>
            </w:r>
            <w:r w:rsidR="001E40A7">
              <w:t>highly desirable solution against the specification provided.</w:t>
            </w:r>
          </w:p>
          <w:p w14:paraId="01B078C7" w14:textId="07062EBC" w:rsidR="00C118A7" w:rsidRPr="00C118A7" w:rsidRDefault="00C118A7" w:rsidP="00CD7003">
            <w:r w:rsidRPr="00C118A7">
              <w:t>The response addresses all the key points listed above in sufficient detail providing confidence that the Tenderer will fully address all</w:t>
            </w:r>
            <w:r w:rsidR="001E40A7">
              <w:t xml:space="preserve"> requirements of the sector.</w:t>
            </w:r>
            <w:r w:rsidR="00D3621F">
              <w:t xml:space="preserve"> </w:t>
            </w:r>
          </w:p>
        </w:tc>
      </w:tr>
      <w:tr w:rsidR="00C118A7" w:rsidRPr="00C118A7" w14:paraId="166752E3" w14:textId="77777777" w:rsidTr="00CD7003">
        <w:tc>
          <w:tcPr>
            <w:tcW w:w="2442" w:type="dxa"/>
            <w:shd w:val="clear" w:color="auto" w:fill="auto"/>
            <w:vAlign w:val="center"/>
          </w:tcPr>
          <w:p w14:paraId="6F836917" w14:textId="77777777" w:rsidR="00C118A7" w:rsidRPr="00C118A7" w:rsidRDefault="00C118A7" w:rsidP="00CD7003">
            <w:pPr>
              <w:rPr>
                <w:b/>
              </w:rPr>
            </w:pPr>
            <w:r w:rsidRPr="00C118A7">
              <w:rPr>
                <w:b/>
              </w:rPr>
              <w:t>2 - Acceptable</w:t>
            </w:r>
          </w:p>
        </w:tc>
        <w:tc>
          <w:tcPr>
            <w:tcW w:w="6774" w:type="dxa"/>
            <w:shd w:val="clear" w:color="auto" w:fill="auto"/>
          </w:tcPr>
          <w:p w14:paraId="1F637EFC" w14:textId="77777777" w:rsidR="00C118A7" w:rsidRPr="00C118A7" w:rsidRDefault="00C118A7" w:rsidP="00CD7003">
            <w:r w:rsidRPr="00C118A7">
              <w:t xml:space="preserve">The response addresses most of the key points listed above in detail OR the Tenderer has provided all the key points listed above but lacks detail in answering the question fully. </w:t>
            </w:r>
            <w:r w:rsidRPr="00C118A7">
              <w:br/>
            </w:r>
            <w:r w:rsidRPr="00C118A7">
              <w:br/>
              <w:t xml:space="preserve">The response provides confidence that the Tenderer will address </w:t>
            </w:r>
            <w:r>
              <w:t>all</w:t>
            </w:r>
            <w:r w:rsidRPr="00C118A7">
              <w:t xml:space="preserve"> aspects of the requirement. </w:t>
            </w:r>
          </w:p>
          <w:p w14:paraId="470B451D" w14:textId="77777777" w:rsidR="00C118A7" w:rsidRPr="00C118A7" w:rsidRDefault="00C118A7" w:rsidP="001E40A7"/>
        </w:tc>
      </w:tr>
      <w:tr w:rsidR="00C118A7" w:rsidRPr="00C118A7" w14:paraId="6ECC1587" w14:textId="77777777" w:rsidTr="00CD7003">
        <w:tc>
          <w:tcPr>
            <w:tcW w:w="2442" w:type="dxa"/>
            <w:shd w:val="clear" w:color="auto" w:fill="auto"/>
            <w:vAlign w:val="center"/>
          </w:tcPr>
          <w:p w14:paraId="14E390C8" w14:textId="77777777" w:rsidR="00C118A7" w:rsidRPr="00C118A7" w:rsidRDefault="00C118A7" w:rsidP="00CD7003">
            <w:pPr>
              <w:rPr>
                <w:b/>
              </w:rPr>
            </w:pPr>
            <w:r w:rsidRPr="00C118A7">
              <w:rPr>
                <w:b/>
              </w:rPr>
              <w:t>1 - Minor Concerns</w:t>
            </w:r>
          </w:p>
        </w:tc>
        <w:tc>
          <w:tcPr>
            <w:tcW w:w="6774" w:type="dxa"/>
            <w:shd w:val="clear" w:color="auto" w:fill="auto"/>
          </w:tcPr>
          <w:p w14:paraId="7935F29D" w14:textId="77777777" w:rsidR="00C118A7" w:rsidRPr="00C118A7" w:rsidRDefault="00C118A7" w:rsidP="00CD7003"/>
          <w:p w14:paraId="25A96673" w14:textId="77777777" w:rsidR="00C118A7" w:rsidRPr="00C118A7" w:rsidRDefault="00C118A7" w:rsidP="001E40A7">
            <w:r w:rsidRPr="00C118A7">
              <w:t>The response addresses some of the ke</w:t>
            </w:r>
            <w:r w:rsidR="001E40A7">
              <w:t xml:space="preserve">y points listed above in detail </w:t>
            </w:r>
            <w:r w:rsidRPr="00C118A7">
              <w:t>but lacks detail. The response does not provide confidence that</w:t>
            </w:r>
            <w:r w:rsidR="001E40A7">
              <w:t xml:space="preserve"> the Tenderer will address the</w:t>
            </w:r>
            <w:r w:rsidRPr="00C118A7">
              <w:t xml:space="preserve"> key aspects of the requirement</w:t>
            </w:r>
            <w:r w:rsidR="001E40A7">
              <w:t xml:space="preserve"> and there are some concerns with the response.</w:t>
            </w:r>
          </w:p>
        </w:tc>
      </w:tr>
      <w:tr w:rsidR="00C118A7" w:rsidRPr="00C118A7" w14:paraId="48809F1A" w14:textId="77777777" w:rsidTr="00CD7003">
        <w:tc>
          <w:tcPr>
            <w:tcW w:w="2442" w:type="dxa"/>
            <w:shd w:val="clear" w:color="auto" w:fill="auto"/>
            <w:vAlign w:val="center"/>
          </w:tcPr>
          <w:p w14:paraId="2662CE63" w14:textId="77777777" w:rsidR="00C118A7" w:rsidRPr="00C118A7" w:rsidRDefault="00C118A7" w:rsidP="00CD7003">
            <w:pPr>
              <w:rPr>
                <w:b/>
              </w:rPr>
            </w:pPr>
            <w:r w:rsidRPr="00C118A7">
              <w:rPr>
                <w:b/>
              </w:rPr>
              <w:t>0 - Major Concerns</w:t>
            </w:r>
          </w:p>
        </w:tc>
        <w:tc>
          <w:tcPr>
            <w:tcW w:w="6774" w:type="dxa"/>
            <w:shd w:val="clear" w:color="auto" w:fill="auto"/>
          </w:tcPr>
          <w:p w14:paraId="379466A2" w14:textId="77777777" w:rsidR="00C118A7" w:rsidRPr="00C118A7" w:rsidRDefault="00C118A7" w:rsidP="00CD7003">
            <w:r w:rsidRPr="00C118A7">
              <w:t>The Tenderer has failed to address the question, submitted a nil response or any element of the response gives cause for major concern.</w:t>
            </w:r>
          </w:p>
          <w:p w14:paraId="5332374E" w14:textId="77777777" w:rsidR="00C118A7" w:rsidRPr="00C118A7" w:rsidRDefault="00C118A7" w:rsidP="00CD7003"/>
        </w:tc>
      </w:tr>
    </w:tbl>
    <w:p w14:paraId="09647447" w14:textId="77777777" w:rsidR="00C118A7" w:rsidRPr="00C118A7" w:rsidRDefault="00C118A7" w:rsidP="00C118A7"/>
    <w:p w14:paraId="7DF663A2" w14:textId="46D89838" w:rsidR="008975A4" w:rsidRDefault="004E7E8B" w:rsidP="008975A4">
      <w:pPr>
        <w:pStyle w:val="Heading1"/>
      </w:pPr>
      <w:r>
        <w:t>Course</w:t>
      </w:r>
      <w:r w:rsidR="00197C2C">
        <w:t xml:space="preserve"> </w:t>
      </w:r>
      <w:r w:rsidR="002E4CDD">
        <w:t>Testing</w:t>
      </w:r>
      <w:r w:rsidR="00090E83">
        <w:t xml:space="preserve"> </w:t>
      </w:r>
    </w:p>
    <w:p w14:paraId="70593941" w14:textId="77777777" w:rsidR="008975A4" w:rsidRDefault="008975A4" w:rsidP="007A29B8">
      <w:r>
        <w:t>There are t</w:t>
      </w:r>
      <w:r w:rsidR="00FE66E1">
        <w:t>wo</w:t>
      </w:r>
      <w:r>
        <w:t xml:space="preserve"> elements to this section to which the Tender should respond.</w:t>
      </w:r>
    </w:p>
    <w:p w14:paraId="29F6791C" w14:textId="5274B830" w:rsidR="009E741D" w:rsidRPr="00AF2847" w:rsidRDefault="009E741D" w:rsidP="007A29B8">
      <w:r w:rsidRPr="00AF2847">
        <w:t>To enable the evaluation</w:t>
      </w:r>
      <w:r w:rsidR="00FE66E1">
        <w:t xml:space="preserve"> of each section</w:t>
      </w:r>
      <w:r w:rsidRPr="00AF2847">
        <w:t xml:space="preserve"> please provide</w:t>
      </w:r>
      <w:r w:rsidR="00297906">
        <w:t xml:space="preserve"> a </w:t>
      </w:r>
      <w:r w:rsidR="00E349BA">
        <w:t>course testing “sandbox” environment</w:t>
      </w:r>
      <w:r w:rsidRPr="00AF2847">
        <w:t>:</w:t>
      </w:r>
    </w:p>
    <w:p w14:paraId="6F9102CE" w14:textId="77777777" w:rsidR="009E741D" w:rsidRDefault="009E741D" w:rsidP="007A29B8">
      <w:pPr>
        <w:pStyle w:val="ListParagraph"/>
      </w:pPr>
      <w:r w:rsidRPr="009A41ED">
        <w:t>Log in details for the TEP - A URL, username and password;</w:t>
      </w:r>
      <w:r w:rsidR="00197C2C">
        <w:t xml:space="preserve"> </w:t>
      </w:r>
    </w:p>
    <w:p w14:paraId="29259EA9" w14:textId="4489CE61" w:rsidR="00197C2C" w:rsidRDefault="00197C2C" w:rsidP="007A29B8">
      <w:pPr>
        <w:pStyle w:val="ListParagraph"/>
      </w:pPr>
      <w:r>
        <w:t>Log in de</w:t>
      </w:r>
      <w:r w:rsidR="00AB59AC">
        <w:t>tails for six sample students and six sample lecturers;</w:t>
      </w:r>
    </w:p>
    <w:p w14:paraId="30CF49DD" w14:textId="2B1058A2" w:rsidR="00AB59AC" w:rsidRPr="00AB59AC" w:rsidRDefault="00AB59AC" w:rsidP="00AB59AC">
      <w:pPr>
        <w:pStyle w:val="ListParagraph"/>
      </w:pPr>
      <w:r>
        <w:t>Administrator account (with full administrator rights);</w:t>
      </w:r>
    </w:p>
    <w:p w14:paraId="6690FEF1" w14:textId="4D78DD51" w:rsidR="009E741D" w:rsidRPr="009A41ED" w:rsidRDefault="009E741D" w:rsidP="00AB59AC">
      <w:pPr>
        <w:pStyle w:val="ListParagraph"/>
      </w:pPr>
      <w:r>
        <w:t xml:space="preserve">Electronic </w:t>
      </w:r>
      <w:r w:rsidRPr="009A41ED">
        <w:t>User manual</w:t>
      </w:r>
      <w:r>
        <w:t>/assistance/guidance on</w:t>
      </w:r>
      <w:r w:rsidR="00A938F1">
        <w:t xml:space="preserve"> help functionality within the S</w:t>
      </w:r>
      <w:r>
        <w:t>ystem</w:t>
      </w:r>
      <w:r w:rsidR="00AB59AC">
        <w:t>;</w:t>
      </w:r>
    </w:p>
    <w:p w14:paraId="2BA12066" w14:textId="29D40BE2" w:rsidR="001E40A7" w:rsidRPr="00E76F38" w:rsidRDefault="001E40A7" w:rsidP="00CE5319">
      <w:pPr>
        <w:pStyle w:val="Heading2"/>
        <w:rPr>
          <w:b/>
        </w:rPr>
      </w:pPr>
      <w:r w:rsidRPr="00E76F38">
        <w:rPr>
          <w:b/>
        </w:rPr>
        <w:t>GSA Specific Testing</w:t>
      </w:r>
      <w:r w:rsidR="00607E0A">
        <w:rPr>
          <w:b/>
        </w:rPr>
        <w:t xml:space="preserve"> </w:t>
      </w:r>
      <w:r w:rsidR="00607E0A" w:rsidRPr="00607E0A">
        <w:rPr>
          <w:b/>
        </w:rPr>
        <w:t>(Weighting 10%)</w:t>
      </w:r>
    </w:p>
    <w:p w14:paraId="5F64B1CF" w14:textId="18E27239" w:rsidR="008975A4" w:rsidRDefault="008975A4" w:rsidP="00CE5319">
      <w:r w:rsidRPr="00915D32">
        <w:t>Tenderers shall provide a Test environment using the sample Glasgow School of Art content attached</w:t>
      </w:r>
      <w:r w:rsidR="00AB59AC">
        <w:t xml:space="preserve"> (</w:t>
      </w:r>
      <w:r w:rsidR="006731E8">
        <w:rPr>
          <w:highlight w:val="yellow"/>
        </w:rPr>
        <w:t>as A</w:t>
      </w:r>
      <w:r w:rsidR="00AB59AC" w:rsidRPr="00AB59AC">
        <w:rPr>
          <w:highlight w:val="yellow"/>
        </w:rPr>
        <w:t>ppendix J</w:t>
      </w:r>
      <w:r w:rsidR="00AB59AC">
        <w:t>)</w:t>
      </w:r>
      <w:r w:rsidRPr="00915D32">
        <w:t>.</w:t>
      </w:r>
      <w:r>
        <w:t xml:space="preserve">  </w:t>
      </w:r>
      <w:r w:rsidRPr="00055B39">
        <w:t>The course shall be displayed in an intuitive structure facilitating ease of navigation.  The</w:t>
      </w:r>
      <w:r w:rsidR="00104DD6">
        <w:t xml:space="preserve"> GSA</w:t>
      </w:r>
      <w:r w:rsidRPr="00055B39">
        <w:t xml:space="preserve"> Tender Evaluation Panel w</w:t>
      </w:r>
      <w:r w:rsidR="00A938F1">
        <w:t>ish to test the S</w:t>
      </w:r>
      <w:r>
        <w:t xml:space="preserve">ystem </w:t>
      </w:r>
      <w:r w:rsidRPr="00055B39">
        <w:t>functionality</w:t>
      </w:r>
      <w:r w:rsidR="00104DD6">
        <w:t xml:space="preserve"> using the methodology and testing functions as suggested in </w:t>
      </w:r>
      <w:r w:rsidR="00C74BD8" w:rsidRPr="00AB59AC">
        <w:rPr>
          <w:highlight w:val="yellow"/>
        </w:rPr>
        <w:t>Appendix H</w:t>
      </w:r>
      <w:r w:rsidR="00C74BD8">
        <w:t>, Test</w:t>
      </w:r>
      <w:r w:rsidR="00E349BA">
        <w:t xml:space="preserve"> </w:t>
      </w:r>
      <w:r w:rsidR="00C74BD8">
        <w:t>plan.</w:t>
      </w:r>
      <w:r>
        <w:t xml:space="preserve"> </w:t>
      </w:r>
    </w:p>
    <w:p w14:paraId="35063A5A" w14:textId="77777777" w:rsidR="001E40A7" w:rsidRDefault="001E40A7" w:rsidP="001E40A7"/>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01"/>
      </w:tblGrid>
      <w:tr w:rsidR="00E346FC" w:rsidRPr="00C118A7" w14:paraId="4E29DBA1" w14:textId="77777777" w:rsidTr="00D666F8">
        <w:tc>
          <w:tcPr>
            <w:tcW w:w="2442" w:type="dxa"/>
            <w:shd w:val="clear" w:color="auto" w:fill="auto"/>
            <w:vAlign w:val="center"/>
          </w:tcPr>
          <w:p w14:paraId="46BB70BF" w14:textId="1E630C2C" w:rsidR="00E346FC" w:rsidRPr="00E346FC" w:rsidRDefault="00E346FC" w:rsidP="00E346FC">
            <w:r w:rsidRPr="00E346FC">
              <w:t xml:space="preserve">3 </w:t>
            </w:r>
            <w:r w:rsidR="00AB59AC">
              <w:t>–</w:t>
            </w:r>
            <w:r w:rsidRPr="00E346FC">
              <w:t xml:space="preserve"> Good</w:t>
            </w:r>
          </w:p>
        </w:tc>
        <w:tc>
          <w:tcPr>
            <w:tcW w:w="6774" w:type="dxa"/>
            <w:shd w:val="clear" w:color="auto" w:fill="auto"/>
          </w:tcPr>
          <w:p w14:paraId="3CB6DC2F" w14:textId="17378B0A" w:rsidR="00E346FC" w:rsidRPr="00E346FC" w:rsidRDefault="00E346FC" w:rsidP="00E346FC">
            <w:r>
              <w:t>T</w:t>
            </w:r>
            <w:r w:rsidRPr="00E346FC">
              <w:t xml:space="preserve">he software design </w:t>
            </w:r>
            <w:r w:rsidR="00D3621F">
              <w:t>was found</w:t>
            </w:r>
            <w:r w:rsidR="00D666F8">
              <w:t xml:space="preserve"> </w:t>
            </w:r>
            <w:r w:rsidRPr="00E346FC">
              <w:t>to be highly intuitive and engaging. Most of the testing group were able to perform the set tasks without using any help, or when help was used it was contextual, located rapidly and of very good or excellent quality. Most members of the testing group were highly engaged with the participation and collaboration tools built within the</w:t>
            </w:r>
            <w:r w:rsidR="00A938F1">
              <w:t xml:space="preserve"> S</w:t>
            </w:r>
            <w:r w:rsidR="00D666F8">
              <w:t xml:space="preserve">ystem and found it easy to link </w:t>
            </w:r>
            <w:r w:rsidR="00A938F1">
              <w:t>with external Systems. The S</w:t>
            </w:r>
            <w:r w:rsidRPr="00E346FC">
              <w:t xml:space="preserve">ystem </w:t>
            </w:r>
            <w:r w:rsidR="00D666F8">
              <w:t>meets all requirements</w:t>
            </w:r>
            <w:r w:rsidRPr="00E346FC">
              <w:t>.</w:t>
            </w:r>
          </w:p>
        </w:tc>
      </w:tr>
      <w:tr w:rsidR="00E346FC" w:rsidRPr="00C118A7" w14:paraId="799E5180" w14:textId="77777777" w:rsidTr="00D666F8">
        <w:tc>
          <w:tcPr>
            <w:tcW w:w="2442" w:type="dxa"/>
            <w:shd w:val="clear" w:color="auto" w:fill="auto"/>
            <w:vAlign w:val="center"/>
          </w:tcPr>
          <w:p w14:paraId="36DB8030" w14:textId="47B75E3E" w:rsidR="00E346FC" w:rsidRPr="00E346FC" w:rsidRDefault="00E346FC" w:rsidP="00E346FC">
            <w:r w:rsidRPr="00E346FC">
              <w:t xml:space="preserve">2 </w:t>
            </w:r>
            <w:r w:rsidR="00AB59AC">
              <w:t>–</w:t>
            </w:r>
            <w:r w:rsidRPr="00E346FC">
              <w:t xml:space="preserve"> Acceptable</w:t>
            </w:r>
          </w:p>
        </w:tc>
        <w:tc>
          <w:tcPr>
            <w:tcW w:w="6774" w:type="dxa"/>
            <w:shd w:val="clear" w:color="auto" w:fill="auto"/>
          </w:tcPr>
          <w:p w14:paraId="08B3ED2B" w14:textId="07D900DD" w:rsidR="00E346FC" w:rsidRPr="00E346FC" w:rsidRDefault="00E346FC" w:rsidP="00E346FC">
            <w:r>
              <w:t>The software design is</w:t>
            </w:r>
            <w:r w:rsidRPr="00E346FC">
              <w:t xml:space="preserve"> acceptable, with the core functions evident. Some were able to perform the set tasks in the testing environment without using help, and the contextual help was of a good standard. Most members of the testing group found the participation and collab</w:t>
            </w:r>
            <w:r w:rsidR="00A938F1">
              <w:t>oration tools built within the S</w:t>
            </w:r>
            <w:r w:rsidRPr="00E346FC">
              <w:t>ystem to be acceptable, and were able to use integrate</w:t>
            </w:r>
            <w:r w:rsidR="00A938F1">
              <w:t>d tools linking with external Systems. The S</w:t>
            </w:r>
            <w:r w:rsidRPr="00E346FC">
              <w:t xml:space="preserve">ystem meets </w:t>
            </w:r>
            <w:r w:rsidR="00D666F8">
              <w:t xml:space="preserve">most </w:t>
            </w:r>
            <w:r w:rsidRPr="00E346FC">
              <w:t>requirements.</w:t>
            </w:r>
          </w:p>
        </w:tc>
      </w:tr>
      <w:tr w:rsidR="00E346FC" w:rsidRPr="00C118A7" w14:paraId="60215E91" w14:textId="77777777" w:rsidTr="00D666F8">
        <w:tc>
          <w:tcPr>
            <w:tcW w:w="2442" w:type="dxa"/>
            <w:shd w:val="clear" w:color="auto" w:fill="auto"/>
            <w:vAlign w:val="center"/>
          </w:tcPr>
          <w:p w14:paraId="49A99542" w14:textId="77777777" w:rsidR="00E346FC" w:rsidRPr="00E346FC" w:rsidRDefault="00E346FC" w:rsidP="00E346FC">
            <w:r w:rsidRPr="00E346FC">
              <w:t>1 - Minor Concerns</w:t>
            </w:r>
          </w:p>
        </w:tc>
        <w:tc>
          <w:tcPr>
            <w:tcW w:w="6774" w:type="dxa"/>
            <w:shd w:val="clear" w:color="auto" w:fill="auto"/>
          </w:tcPr>
          <w:p w14:paraId="079AFE7B" w14:textId="2547237C" w:rsidR="00E346FC" w:rsidRPr="00E346FC" w:rsidRDefault="00E346FC" w:rsidP="00E346FC">
            <w:r w:rsidRPr="00E346FC">
              <w:t>Most found the design to be basic and adequate. Most members of the testing group required help to perform the set tasks and found it to be of an acceptable standard. Integrate</w:t>
            </w:r>
            <w:r w:rsidR="00D3621F">
              <w:t xml:space="preserve">d tools were available but </w:t>
            </w:r>
            <w:r w:rsidRPr="00E346FC">
              <w:t>most found them to provide limited access or e</w:t>
            </w:r>
            <w:r w:rsidR="00A938F1">
              <w:t>ngagement. The S</w:t>
            </w:r>
            <w:r w:rsidR="00D666F8">
              <w:t>ystem meets some</w:t>
            </w:r>
            <w:r w:rsidRPr="00E346FC">
              <w:t xml:space="preserve"> requirements.</w:t>
            </w:r>
          </w:p>
        </w:tc>
      </w:tr>
      <w:tr w:rsidR="00E346FC" w:rsidRPr="00C118A7" w14:paraId="2DBA07D0" w14:textId="77777777" w:rsidTr="00D666F8">
        <w:tc>
          <w:tcPr>
            <w:tcW w:w="2442" w:type="dxa"/>
            <w:shd w:val="clear" w:color="auto" w:fill="auto"/>
            <w:vAlign w:val="center"/>
          </w:tcPr>
          <w:p w14:paraId="7B35CF1E" w14:textId="77777777" w:rsidR="00E346FC" w:rsidRPr="00E346FC" w:rsidRDefault="00E346FC" w:rsidP="00E346FC">
            <w:r w:rsidRPr="00E346FC">
              <w:t>0 - Major Concerns</w:t>
            </w:r>
          </w:p>
        </w:tc>
        <w:tc>
          <w:tcPr>
            <w:tcW w:w="6774" w:type="dxa"/>
            <w:shd w:val="clear" w:color="auto" w:fill="auto"/>
          </w:tcPr>
          <w:p w14:paraId="6FD73285" w14:textId="13405DDB" w:rsidR="00E346FC" w:rsidRPr="00E346FC" w:rsidRDefault="00E346FC" w:rsidP="00E346FC">
            <w:r w:rsidRPr="00E346FC">
              <w:t>The Tenderer has failed to address the question, submitted a nil response or any element of the response gives cause for major concern.</w:t>
            </w:r>
          </w:p>
        </w:tc>
      </w:tr>
    </w:tbl>
    <w:p w14:paraId="6A708EE5" w14:textId="275BB73C" w:rsidR="00E346FC" w:rsidRDefault="00E346FC" w:rsidP="00E346FC"/>
    <w:p w14:paraId="4E56F857" w14:textId="1DA3905F" w:rsidR="001E40A7" w:rsidRPr="00E76F38" w:rsidRDefault="001E40A7" w:rsidP="00CE5319">
      <w:pPr>
        <w:pStyle w:val="Heading2"/>
        <w:rPr>
          <w:b/>
        </w:rPr>
      </w:pPr>
      <w:r w:rsidRPr="00E76F38">
        <w:rPr>
          <w:b/>
        </w:rPr>
        <w:t xml:space="preserve">Sector Testing </w:t>
      </w:r>
      <w:r w:rsidR="00607E0A">
        <w:rPr>
          <w:b/>
        </w:rPr>
        <w:t>(Weighting 5%)</w:t>
      </w:r>
    </w:p>
    <w:p w14:paraId="0AE89278" w14:textId="2AED6EE5" w:rsidR="00F91980" w:rsidRDefault="008975A4" w:rsidP="00CE5319">
      <w:r>
        <w:t xml:space="preserve">Tenderers shall provide a Test environment using a sample </w:t>
      </w:r>
      <w:r w:rsidR="00197C2C">
        <w:t xml:space="preserve">showcase </w:t>
      </w:r>
      <w:r w:rsidR="00447B0B">
        <w:t xml:space="preserve">course set up </w:t>
      </w:r>
      <w:r>
        <w:t xml:space="preserve">by the </w:t>
      </w:r>
      <w:r w:rsidR="00FE66E1">
        <w:t>T</w:t>
      </w:r>
      <w:r>
        <w:t>enderer,</w:t>
      </w:r>
      <w:r w:rsidR="009E741D">
        <w:t xml:space="preserve"> which displays the full functionality of the VLE solution proposed</w:t>
      </w:r>
      <w:r>
        <w:t xml:space="preserve">.  </w:t>
      </w:r>
      <w:r w:rsidRPr="00055B39">
        <w:t>The course shall be displayed in an intuitive structure facilitating ease of navigation.</w:t>
      </w:r>
    </w:p>
    <w:p w14:paraId="357CBA3F" w14:textId="65101F5A" w:rsidR="00F91980" w:rsidRDefault="00F93873" w:rsidP="007A29B8">
      <w:pPr>
        <w:pStyle w:val="ListParagraph"/>
      </w:pPr>
      <w:r>
        <w:t xml:space="preserve">A </w:t>
      </w:r>
      <w:r w:rsidR="00104DD6">
        <w:t xml:space="preserve">recommended </w:t>
      </w:r>
      <w:r>
        <w:t>exemplar course</w:t>
      </w:r>
      <w:r w:rsidR="00104DD6">
        <w:t xml:space="preserve"> </w:t>
      </w:r>
      <w:r w:rsidR="003B6623">
        <w:t>provided by the Tenderer</w:t>
      </w:r>
    </w:p>
    <w:p w14:paraId="0D01D6E3" w14:textId="77777777" w:rsidR="00F91980" w:rsidRDefault="00F91980" w:rsidP="007A29B8">
      <w:pPr>
        <w:pStyle w:val="ListParagraph"/>
      </w:pPr>
      <w:r>
        <w:t>Homepage/entry point/landing page</w:t>
      </w:r>
    </w:p>
    <w:p w14:paraId="1A9D6755" w14:textId="77777777" w:rsidR="00F91980" w:rsidRDefault="00F91980" w:rsidP="007A29B8">
      <w:pPr>
        <w:pStyle w:val="ListParagraph"/>
      </w:pPr>
      <w:r>
        <w:t>Access by administrator, teacher role and student role</w:t>
      </w:r>
    </w:p>
    <w:p w14:paraId="059AC6FA" w14:textId="32D7E742" w:rsidR="00447B0B" w:rsidRDefault="00447B0B" w:rsidP="00447B0B">
      <w:r>
        <w:t>The Tender Evaluation Panel</w:t>
      </w:r>
      <w:r w:rsidR="00627EA2">
        <w:t xml:space="preserve"> will assess each compliant Tender response with</w:t>
      </w:r>
      <w:r w:rsidR="00C74BD8">
        <w:t xml:space="preserve"> the acti</w:t>
      </w:r>
      <w:r w:rsidR="003B6623">
        <w:t xml:space="preserve">vities summarised in </w:t>
      </w:r>
      <w:r w:rsidR="003B6623" w:rsidRPr="00AB59AC">
        <w:rPr>
          <w:highlight w:val="yellow"/>
        </w:rPr>
        <w:t xml:space="preserve">Appendix H, </w:t>
      </w:r>
      <w:r w:rsidR="00FC68B4" w:rsidRPr="00AB59AC">
        <w:rPr>
          <w:highlight w:val="yellow"/>
        </w:rPr>
        <w:t>Test plan</w:t>
      </w:r>
      <w:r w:rsidR="003B6623" w:rsidRPr="00AB59AC">
        <w:rPr>
          <w:highlight w:val="yellow"/>
        </w:rPr>
        <w:t>.</w:t>
      </w:r>
      <w:r w:rsidR="00627EA2">
        <w:t xml:space="preserve"> </w:t>
      </w:r>
    </w:p>
    <w:p w14:paraId="77EC55AD" w14:textId="77777777" w:rsidR="006332A1" w:rsidRDefault="006332A1" w:rsidP="001E40A7"/>
    <w:p w14:paraId="0A5F76A9" w14:textId="77777777" w:rsidR="00447B0B" w:rsidRDefault="00447B0B" w:rsidP="001E40A7"/>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01"/>
      </w:tblGrid>
      <w:tr w:rsidR="00E346FC" w:rsidRPr="00C118A7" w14:paraId="644C9C9A" w14:textId="77777777" w:rsidTr="00D666F8">
        <w:tc>
          <w:tcPr>
            <w:tcW w:w="2442" w:type="dxa"/>
            <w:shd w:val="clear" w:color="auto" w:fill="auto"/>
            <w:vAlign w:val="center"/>
          </w:tcPr>
          <w:p w14:paraId="6384B0B8" w14:textId="77777777" w:rsidR="00E346FC" w:rsidRPr="00E346FC" w:rsidRDefault="00E346FC" w:rsidP="00E346FC">
            <w:r w:rsidRPr="00E346FC">
              <w:t>3 - Good</w:t>
            </w:r>
          </w:p>
        </w:tc>
        <w:tc>
          <w:tcPr>
            <w:tcW w:w="6774" w:type="dxa"/>
            <w:shd w:val="clear" w:color="auto" w:fill="auto"/>
          </w:tcPr>
          <w:p w14:paraId="747C6C1D" w14:textId="61184D4A" w:rsidR="00E346FC" w:rsidRPr="00E346FC" w:rsidRDefault="00E346FC" w:rsidP="00E346FC">
            <w:r w:rsidRPr="00E346FC">
              <w:t xml:space="preserve">The software design </w:t>
            </w:r>
            <w:r w:rsidR="00FC2250">
              <w:t xml:space="preserve">was found </w:t>
            </w:r>
            <w:r w:rsidRPr="00E346FC">
              <w:t>to be highly intuitive and engaging. Most of the testing group were able to perform the set tasks without using any help, or when help was used it was contextual, located rapidly and of very good or excellent quality. Most members of the testing group were highly engaged with the participation and collaboration tools built within the system and found it easy to use the integrated tools link</w:t>
            </w:r>
            <w:r w:rsidR="00A938F1">
              <w:t>ing with external systems. The S</w:t>
            </w:r>
            <w:r w:rsidRPr="00E346FC">
              <w:t>ystem exceeds requirements overall.</w:t>
            </w:r>
          </w:p>
        </w:tc>
      </w:tr>
      <w:tr w:rsidR="00E346FC" w:rsidRPr="00C118A7" w14:paraId="6DF3B094" w14:textId="77777777" w:rsidTr="00D666F8">
        <w:tc>
          <w:tcPr>
            <w:tcW w:w="2442" w:type="dxa"/>
            <w:shd w:val="clear" w:color="auto" w:fill="auto"/>
            <w:vAlign w:val="center"/>
          </w:tcPr>
          <w:p w14:paraId="6A20BAC0" w14:textId="77777777" w:rsidR="00E346FC" w:rsidRPr="00E346FC" w:rsidRDefault="00E346FC" w:rsidP="00E346FC">
            <w:r w:rsidRPr="00E346FC">
              <w:t>2 - Acceptable</w:t>
            </w:r>
          </w:p>
        </w:tc>
        <w:tc>
          <w:tcPr>
            <w:tcW w:w="6774" w:type="dxa"/>
            <w:shd w:val="clear" w:color="auto" w:fill="auto"/>
          </w:tcPr>
          <w:p w14:paraId="04A94CCB" w14:textId="01F1DF31" w:rsidR="00E346FC" w:rsidRPr="00E346FC" w:rsidRDefault="00E346FC" w:rsidP="00E346FC">
            <w:r w:rsidRPr="00E346FC">
              <w:t>The software design is acceptable, with the core functions evident. Some were able to perform the set tasks in the testing environment without using help, and the contextual help was of a good standard. Most members of the testing group found the participation and collaboration tools built within the system to be acceptable, and were able to use integrated tools link</w:t>
            </w:r>
            <w:r w:rsidR="00A938F1">
              <w:t>ing with external systems. The S</w:t>
            </w:r>
            <w:r w:rsidRPr="00E346FC">
              <w:t>ystem meets requirements.</w:t>
            </w:r>
          </w:p>
        </w:tc>
      </w:tr>
      <w:tr w:rsidR="00E346FC" w:rsidRPr="00C118A7" w14:paraId="0DDAEEED" w14:textId="77777777" w:rsidTr="00D666F8">
        <w:tc>
          <w:tcPr>
            <w:tcW w:w="2442" w:type="dxa"/>
            <w:shd w:val="clear" w:color="auto" w:fill="auto"/>
            <w:vAlign w:val="center"/>
          </w:tcPr>
          <w:p w14:paraId="38CA1DBE" w14:textId="77777777" w:rsidR="00E346FC" w:rsidRPr="00E346FC" w:rsidRDefault="00E346FC" w:rsidP="00E346FC">
            <w:r w:rsidRPr="00E346FC">
              <w:t>1 - Minor Concerns</w:t>
            </w:r>
          </w:p>
        </w:tc>
        <w:tc>
          <w:tcPr>
            <w:tcW w:w="6774" w:type="dxa"/>
            <w:shd w:val="clear" w:color="auto" w:fill="auto"/>
          </w:tcPr>
          <w:p w14:paraId="3CE3E527" w14:textId="486A23B6" w:rsidR="00E346FC" w:rsidRPr="00E346FC" w:rsidRDefault="00E346FC" w:rsidP="00E346FC">
            <w:r w:rsidRPr="00E346FC">
              <w:t>Most found the design to be basic and adequate. Most members of the testing group required help to perform the set tasks and found it to be of an acceptable standard. Integrated tools were available but were most found them to provide lim</w:t>
            </w:r>
            <w:r w:rsidR="00A938F1">
              <w:t>ited access or engagement. The S</w:t>
            </w:r>
            <w:r w:rsidRPr="00E346FC">
              <w:t>ystem meets most requirements.</w:t>
            </w:r>
          </w:p>
        </w:tc>
      </w:tr>
      <w:tr w:rsidR="00E346FC" w:rsidRPr="00C118A7" w14:paraId="5BD90AE1" w14:textId="77777777" w:rsidTr="00D666F8">
        <w:tc>
          <w:tcPr>
            <w:tcW w:w="2442" w:type="dxa"/>
            <w:shd w:val="clear" w:color="auto" w:fill="auto"/>
            <w:vAlign w:val="center"/>
          </w:tcPr>
          <w:p w14:paraId="230CA0D6" w14:textId="77777777" w:rsidR="00E346FC" w:rsidRPr="00E346FC" w:rsidRDefault="00E346FC" w:rsidP="00E346FC">
            <w:r w:rsidRPr="00E346FC">
              <w:t>0 - Major Concerns</w:t>
            </w:r>
          </w:p>
        </w:tc>
        <w:tc>
          <w:tcPr>
            <w:tcW w:w="6774" w:type="dxa"/>
            <w:shd w:val="clear" w:color="auto" w:fill="auto"/>
          </w:tcPr>
          <w:p w14:paraId="3683080F" w14:textId="77777777" w:rsidR="00E346FC" w:rsidRPr="00E346FC" w:rsidRDefault="00E346FC" w:rsidP="00E346FC">
            <w:r w:rsidRPr="00E346FC">
              <w:t>The Tenderer has failed to address the question, submitted a nil response or any element of the response gives cause for major concern.</w:t>
            </w:r>
          </w:p>
        </w:tc>
      </w:tr>
    </w:tbl>
    <w:p w14:paraId="499E8CD3" w14:textId="77777777" w:rsidR="00E346FC" w:rsidRDefault="00E346FC" w:rsidP="001E40A7">
      <w:pPr>
        <w:rPr>
          <w:highlight w:val="yellow"/>
        </w:rPr>
      </w:pPr>
    </w:p>
    <w:p w14:paraId="628D5863" w14:textId="77777777" w:rsidR="00E346FC" w:rsidRDefault="00E346FC" w:rsidP="001E40A7">
      <w:pPr>
        <w:rPr>
          <w:highlight w:val="yellow"/>
        </w:rPr>
      </w:pPr>
    </w:p>
    <w:p w14:paraId="293E2462" w14:textId="4E0086EA" w:rsidR="00AF570A" w:rsidRPr="00AF570A" w:rsidRDefault="00AF570A" w:rsidP="00AF570A">
      <w:pPr>
        <w:pStyle w:val="Heading1"/>
      </w:pPr>
      <w:r w:rsidRPr="00AF570A">
        <w:t xml:space="preserve">Integration </w:t>
      </w:r>
      <w:r w:rsidR="00E76F38">
        <w:t xml:space="preserve">and Extension </w:t>
      </w:r>
      <w:r w:rsidRPr="00AF570A">
        <w:t>Capabilities</w:t>
      </w:r>
      <w:r w:rsidR="00090E83">
        <w:t xml:space="preserve"> (Weighting </w:t>
      </w:r>
      <w:r w:rsidR="00EC5704">
        <w:t>5</w:t>
      </w:r>
      <w:r w:rsidR="00090E83">
        <w:t>%)</w:t>
      </w:r>
    </w:p>
    <w:p w14:paraId="50067FB2" w14:textId="04880CD4" w:rsidR="00AF570A" w:rsidRDefault="00AF570A" w:rsidP="00AF570A">
      <w:r w:rsidRPr="00E1366E">
        <w:t xml:space="preserve">Please explain the extent to which your proposed solution integrates with </w:t>
      </w:r>
      <w:r>
        <w:t xml:space="preserve">the key </w:t>
      </w:r>
      <w:r w:rsidRPr="00E1366E">
        <w:t>corporate FE</w:t>
      </w:r>
      <w:r w:rsidR="00A938F1">
        <w:t>/HE S</w:t>
      </w:r>
      <w:r>
        <w:t xml:space="preserve">ystems listed within the </w:t>
      </w:r>
      <w:r w:rsidR="006F6503">
        <w:t>“</w:t>
      </w:r>
      <w:r>
        <w:t xml:space="preserve">Specification </w:t>
      </w:r>
      <w:r w:rsidR="006F6503">
        <w:t>of R</w:t>
      </w:r>
      <w:r w:rsidR="00D508A8">
        <w:t xml:space="preserve">equirements” </w:t>
      </w:r>
      <w:r>
        <w:t>and how the integrations are achieved?</w:t>
      </w:r>
    </w:p>
    <w:p w14:paraId="245D9D11" w14:textId="77777777" w:rsidR="00AF570A" w:rsidRDefault="00AF570A" w:rsidP="00AF570A">
      <w:r>
        <w:t xml:space="preserve">Responses should include: </w:t>
      </w:r>
      <w:r w:rsidRPr="00E1366E">
        <w:t xml:space="preserve"> </w:t>
      </w:r>
    </w:p>
    <w:p w14:paraId="54CB7ABC" w14:textId="77777777" w:rsidR="00AB59AC" w:rsidRPr="00AB59AC" w:rsidRDefault="00AF570A" w:rsidP="007A29B8">
      <w:pPr>
        <w:pStyle w:val="ListParagraph"/>
        <w:rPr>
          <w:b/>
        </w:rPr>
      </w:pPr>
      <w:r w:rsidRPr="00AF570A">
        <w:t>Type of</w:t>
      </w:r>
      <w:r w:rsidR="002A2647">
        <w:t xml:space="preserve"> integration provided; full two-</w:t>
      </w:r>
      <w:r w:rsidRPr="00AF570A">
        <w:t>way, real time or other;</w:t>
      </w:r>
    </w:p>
    <w:p w14:paraId="365F6101" w14:textId="1FBCB5B0" w:rsidR="00AF570A" w:rsidRPr="00AF570A" w:rsidRDefault="00AB59AC" w:rsidP="007A29B8">
      <w:pPr>
        <w:pStyle w:val="ListParagraph"/>
        <w:rPr>
          <w:b/>
        </w:rPr>
      </w:pPr>
      <w:r>
        <w:t>Integration opportunities with Systems specified within the ITT;</w:t>
      </w:r>
      <w:r w:rsidR="00AF570A" w:rsidRPr="00AF570A">
        <w:t xml:space="preserve"> </w:t>
      </w:r>
    </w:p>
    <w:p w14:paraId="56455176" w14:textId="0AAD7B76" w:rsidR="00AF570A" w:rsidRDefault="00AF570A" w:rsidP="007A29B8">
      <w:pPr>
        <w:pStyle w:val="ListParagraph"/>
      </w:pPr>
      <w:r w:rsidRPr="00AF570A">
        <w:t>Any Interoperability standards critical to th</w:t>
      </w:r>
      <w:r w:rsidR="007C5360">
        <w:t>e level of integration achieved;</w:t>
      </w:r>
    </w:p>
    <w:p w14:paraId="4B0475E0" w14:textId="03D050E9" w:rsidR="007C5360" w:rsidRDefault="007C5360" w:rsidP="007C5360">
      <w:pPr>
        <w:pStyle w:val="ListParagraph"/>
      </w:pPr>
      <w:r>
        <w:t>A description of how the System shall integr</w:t>
      </w:r>
      <w:r w:rsidR="00FB2364">
        <w:t>ate with the GSA infrastructure</w:t>
      </w:r>
      <w:r>
        <w:t>.</w:t>
      </w:r>
    </w:p>
    <w:p w14:paraId="1361ECC5" w14:textId="2592E3DA" w:rsidR="00AB59AC" w:rsidRPr="00AB59AC" w:rsidRDefault="00AB59AC" w:rsidP="00AB59AC">
      <w:r>
        <w:t>Tenderers may support their answers by evidence of current live integrations.</w:t>
      </w:r>
    </w:p>
    <w:p w14:paraId="67D70D17" w14:textId="77777777" w:rsidR="007C5360" w:rsidRPr="007C5360" w:rsidRDefault="007C5360" w:rsidP="007C5360"/>
    <w:p w14:paraId="3C52F0C3" w14:textId="77777777" w:rsidR="00C118A7" w:rsidRPr="00C118A7" w:rsidRDefault="00C118A7" w:rsidP="00C118A7">
      <w:r w:rsidRPr="00C118A7">
        <w:t>This question will be evaluated and scored using the scoring methodology below.</w:t>
      </w:r>
    </w:p>
    <w:p w14:paraId="54EB3AF6" w14:textId="77777777" w:rsidR="00C118A7" w:rsidRPr="00C118A7" w:rsidRDefault="00C118A7" w:rsidP="00C118A7">
      <w:pPr>
        <w:rPr>
          <w:b/>
          <w:u w:val="single"/>
        </w:rPr>
      </w:pPr>
      <w:r w:rsidRPr="00C118A7">
        <w:rPr>
          <w:b/>
        </w:rPr>
        <w:tab/>
      </w:r>
    </w:p>
    <w:p w14:paraId="5F41CC34" w14:textId="77777777" w:rsidR="00C118A7" w:rsidRPr="00C118A7" w:rsidRDefault="00C118A7" w:rsidP="00C118A7">
      <w:pPr>
        <w:ind w:firstLine="720"/>
        <w:rPr>
          <w:b/>
          <w:u w:val="single"/>
        </w:rPr>
      </w:pPr>
      <w:r w:rsidRPr="00C118A7">
        <w:rPr>
          <w:b/>
          <w:u w:val="single"/>
        </w:rPr>
        <w:t>Scoring Methodology</w:t>
      </w:r>
    </w:p>
    <w:p w14:paraId="7A43C2C0" w14:textId="77777777" w:rsidR="00C118A7" w:rsidRDefault="00C118A7" w:rsidP="009A41ED">
      <w:pPr>
        <w:ind w:left="1353"/>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6499"/>
      </w:tblGrid>
      <w:tr w:rsidR="00C118A7" w:rsidRPr="00C118A7" w14:paraId="5000E60C" w14:textId="77777777" w:rsidTr="00CD7003">
        <w:tc>
          <w:tcPr>
            <w:tcW w:w="2442" w:type="dxa"/>
            <w:shd w:val="clear" w:color="auto" w:fill="auto"/>
            <w:vAlign w:val="center"/>
          </w:tcPr>
          <w:p w14:paraId="1493341E" w14:textId="77777777" w:rsidR="00C118A7" w:rsidRPr="00C118A7" w:rsidRDefault="00C118A7" w:rsidP="00CD7003">
            <w:pPr>
              <w:rPr>
                <w:b/>
              </w:rPr>
            </w:pPr>
            <w:r w:rsidRPr="00C118A7">
              <w:rPr>
                <w:b/>
              </w:rPr>
              <w:t xml:space="preserve">3 </w:t>
            </w:r>
            <w:r w:rsidR="00E95F51">
              <w:rPr>
                <w:b/>
              </w:rPr>
              <w:t>–</w:t>
            </w:r>
            <w:r w:rsidRPr="00C118A7">
              <w:rPr>
                <w:b/>
              </w:rPr>
              <w:t xml:space="preserve"> Good</w:t>
            </w:r>
          </w:p>
        </w:tc>
        <w:tc>
          <w:tcPr>
            <w:tcW w:w="6774" w:type="dxa"/>
            <w:shd w:val="clear" w:color="auto" w:fill="auto"/>
          </w:tcPr>
          <w:p w14:paraId="6E4319D2" w14:textId="7EF4DC16" w:rsidR="00C118A7" w:rsidRPr="00C118A7" w:rsidRDefault="00C118A7" w:rsidP="00347A96">
            <w:pPr>
              <w:jc w:val="left"/>
            </w:pPr>
            <w:r w:rsidRPr="00C118A7">
              <w:t>The Tender</w:t>
            </w:r>
            <w:r w:rsidR="00347A96">
              <w:t xml:space="preserve">er’s response is comprehensive, </w:t>
            </w:r>
            <w:r w:rsidRPr="00C118A7">
              <w:t>clearly demonstrating</w:t>
            </w:r>
            <w:r w:rsidR="00FC2250">
              <w:t xml:space="preserve"> </w:t>
            </w:r>
            <w:r w:rsidR="00347A96">
              <w:t xml:space="preserve">relevant </w:t>
            </w:r>
            <w:r w:rsidR="00FC2250">
              <w:t>r</w:t>
            </w:r>
            <w:r w:rsidR="005F79CB">
              <w:t>e</w:t>
            </w:r>
            <w:r w:rsidR="00347A96">
              <w:t xml:space="preserve">al time integration capabilities, compliance with Interoperability standards, and </w:t>
            </w:r>
            <w:r w:rsidR="00347A96" w:rsidRPr="00FB2364">
              <w:t xml:space="preserve">live example integrations directly </w:t>
            </w:r>
            <w:r w:rsidR="002D5A56" w:rsidRPr="00FB2364">
              <w:t xml:space="preserve">relevant to </w:t>
            </w:r>
            <w:r w:rsidR="00FB2364" w:rsidRPr="00FB2364">
              <w:t>the education sectors</w:t>
            </w:r>
            <w:r w:rsidR="00915D32">
              <w:t xml:space="preserve"> and the Framework.</w:t>
            </w:r>
            <w:r w:rsidR="00347A96">
              <w:t xml:space="preserve"> </w:t>
            </w:r>
          </w:p>
          <w:p w14:paraId="6FCE14CD" w14:textId="7BC311B7" w:rsidR="00C118A7" w:rsidRPr="00C118A7" w:rsidRDefault="00C118A7" w:rsidP="00CD7003">
            <w:r w:rsidRPr="00C118A7">
              <w:t>The response addresses all the key points listed above in sufficient detail providing confidence that the</w:t>
            </w:r>
            <w:r w:rsidR="00347A96">
              <w:t xml:space="preserve"> Tenderer will fully address all requirements.  </w:t>
            </w:r>
          </w:p>
        </w:tc>
      </w:tr>
      <w:tr w:rsidR="00C118A7" w:rsidRPr="00C118A7" w14:paraId="0104D968" w14:textId="77777777" w:rsidTr="00CD7003">
        <w:tc>
          <w:tcPr>
            <w:tcW w:w="2442" w:type="dxa"/>
            <w:shd w:val="clear" w:color="auto" w:fill="auto"/>
            <w:vAlign w:val="center"/>
          </w:tcPr>
          <w:p w14:paraId="4D8631A6" w14:textId="77777777" w:rsidR="00C118A7" w:rsidRPr="00C118A7" w:rsidRDefault="00C118A7" w:rsidP="00CD7003">
            <w:pPr>
              <w:rPr>
                <w:b/>
              </w:rPr>
            </w:pPr>
            <w:r w:rsidRPr="00C118A7">
              <w:rPr>
                <w:b/>
              </w:rPr>
              <w:t>2 - Acceptable</w:t>
            </w:r>
          </w:p>
        </w:tc>
        <w:tc>
          <w:tcPr>
            <w:tcW w:w="6774" w:type="dxa"/>
            <w:shd w:val="clear" w:color="auto" w:fill="auto"/>
          </w:tcPr>
          <w:p w14:paraId="7068D6C9" w14:textId="72AF6078" w:rsidR="00C118A7" w:rsidRPr="00CD72FD" w:rsidRDefault="00C118A7" w:rsidP="00FB2364">
            <w:pPr>
              <w:jc w:val="left"/>
            </w:pPr>
            <w:r w:rsidRPr="00C118A7">
              <w:t>The Tenderer has demonstrated how they will effectively</w:t>
            </w:r>
            <w:r w:rsidR="00347A96">
              <w:t xml:space="preserve"> address</w:t>
            </w:r>
            <w:r w:rsidRPr="00C118A7">
              <w:t xml:space="preserve"> most of the key points listed above in detail OR the Tenderer has provided all the key point</w:t>
            </w:r>
            <w:r w:rsidR="00347A96">
              <w:t xml:space="preserve">s listed above but lacks detail </w:t>
            </w:r>
            <w:r w:rsidRPr="00C118A7">
              <w:t xml:space="preserve">in answering the question fully. </w:t>
            </w:r>
            <w:r w:rsidRPr="00C118A7">
              <w:br/>
            </w:r>
            <w:r w:rsidRPr="00C118A7">
              <w:br/>
              <w:t xml:space="preserve">The response provides confidence that the Tenderer will address </w:t>
            </w:r>
            <w:r w:rsidR="00347A96">
              <w:t>most</w:t>
            </w:r>
            <w:r w:rsidR="002D5A56">
              <w:t xml:space="preserve"> aspects of the requirement. </w:t>
            </w:r>
          </w:p>
        </w:tc>
      </w:tr>
      <w:tr w:rsidR="00C118A7" w:rsidRPr="00C118A7" w14:paraId="359D2DAD" w14:textId="77777777" w:rsidTr="00CD7003">
        <w:tc>
          <w:tcPr>
            <w:tcW w:w="2442" w:type="dxa"/>
            <w:shd w:val="clear" w:color="auto" w:fill="auto"/>
            <w:vAlign w:val="center"/>
          </w:tcPr>
          <w:p w14:paraId="32150BFA" w14:textId="77777777" w:rsidR="00C118A7" w:rsidRPr="00C118A7" w:rsidRDefault="00C118A7" w:rsidP="00CD7003">
            <w:pPr>
              <w:rPr>
                <w:b/>
              </w:rPr>
            </w:pPr>
            <w:r w:rsidRPr="00C118A7">
              <w:rPr>
                <w:b/>
              </w:rPr>
              <w:t>1 - Minor Concerns</w:t>
            </w:r>
          </w:p>
        </w:tc>
        <w:tc>
          <w:tcPr>
            <w:tcW w:w="6774" w:type="dxa"/>
            <w:shd w:val="clear" w:color="auto" w:fill="auto"/>
          </w:tcPr>
          <w:p w14:paraId="01E126E1" w14:textId="4D14E23D" w:rsidR="00C118A7" w:rsidRPr="00C118A7" w:rsidRDefault="00C118A7" w:rsidP="00CD7003">
            <w:r w:rsidRPr="00C118A7">
              <w:t>The response addresses some of the key points listed above in detail OR the Tenderer has provided most of the key points listed above but lacks detail. The response does not provide confidence that the Tenderer will address these key aspects of the requirement</w:t>
            </w:r>
            <w:r w:rsidR="00FB2364">
              <w:t>.</w:t>
            </w:r>
          </w:p>
        </w:tc>
      </w:tr>
      <w:tr w:rsidR="00C118A7" w:rsidRPr="00C118A7" w14:paraId="53C49348" w14:textId="77777777" w:rsidTr="00CD7003">
        <w:tc>
          <w:tcPr>
            <w:tcW w:w="2442" w:type="dxa"/>
            <w:shd w:val="clear" w:color="auto" w:fill="auto"/>
            <w:vAlign w:val="center"/>
          </w:tcPr>
          <w:p w14:paraId="69EE1892" w14:textId="77777777" w:rsidR="00C118A7" w:rsidRPr="00C118A7" w:rsidRDefault="00C118A7" w:rsidP="00CD7003">
            <w:pPr>
              <w:rPr>
                <w:b/>
              </w:rPr>
            </w:pPr>
            <w:r w:rsidRPr="00C118A7">
              <w:rPr>
                <w:b/>
              </w:rPr>
              <w:t>0 - Major Concerns</w:t>
            </w:r>
          </w:p>
        </w:tc>
        <w:tc>
          <w:tcPr>
            <w:tcW w:w="6774" w:type="dxa"/>
            <w:shd w:val="clear" w:color="auto" w:fill="auto"/>
          </w:tcPr>
          <w:p w14:paraId="7AD18ABE" w14:textId="5485C37F" w:rsidR="00C118A7" w:rsidRPr="00C118A7" w:rsidRDefault="00C118A7" w:rsidP="00CD7003">
            <w:r w:rsidRPr="00C118A7">
              <w:t>The Tenderer has failed to address the question, submitted a nil response or any element of the response</w:t>
            </w:r>
            <w:r w:rsidR="002D5A56">
              <w:t xml:space="preserve"> gives cause for major concern.</w:t>
            </w:r>
          </w:p>
        </w:tc>
      </w:tr>
    </w:tbl>
    <w:p w14:paraId="37531F87" w14:textId="77777777" w:rsidR="00C118A7" w:rsidRPr="00C118A7" w:rsidRDefault="00C118A7" w:rsidP="00C118A7"/>
    <w:p w14:paraId="0AED46E0" w14:textId="2F9F7E2F" w:rsidR="00AF570A" w:rsidRPr="00AF570A" w:rsidRDefault="00AF570A" w:rsidP="00AF570A">
      <w:pPr>
        <w:pStyle w:val="Heading1"/>
      </w:pPr>
      <w:r w:rsidRPr="00AF570A">
        <w:t>Access t</w:t>
      </w:r>
      <w:r w:rsidR="00397065">
        <w:t>o Institution Data</w:t>
      </w:r>
      <w:r w:rsidR="00FB2364">
        <w:t xml:space="preserve"> (Weighting 2</w:t>
      </w:r>
      <w:r w:rsidR="00090E83">
        <w:t>%)</w:t>
      </w:r>
    </w:p>
    <w:p w14:paraId="4BC4C821" w14:textId="353827BC" w:rsidR="00AF570A" w:rsidRDefault="00AF570A" w:rsidP="00AF570A">
      <w:r w:rsidRPr="00774D06">
        <w:t xml:space="preserve">Tenderers shall clearly explain the extent to which Institutions will be able to acquire access to their own information in a standard “open” rather than proprietary form, free of setup and licensing charges?  </w:t>
      </w:r>
    </w:p>
    <w:p w14:paraId="573E8223" w14:textId="77777777" w:rsidR="00C118A7" w:rsidRPr="00C118A7" w:rsidRDefault="00C118A7" w:rsidP="00C118A7">
      <w:r w:rsidRPr="00C118A7">
        <w:t>This question will be evaluated and scored using the scoring methodology below.</w:t>
      </w:r>
    </w:p>
    <w:p w14:paraId="141364FD" w14:textId="77777777" w:rsidR="00C118A7" w:rsidRPr="00C118A7" w:rsidRDefault="00C118A7" w:rsidP="00C118A7">
      <w:pPr>
        <w:rPr>
          <w:b/>
          <w:u w:val="single"/>
        </w:rPr>
      </w:pPr>
      <w:r w:rsidRPr="00C118A7">
        <w:rPr>
          <w:b/>
        </w:rPr>
        <w:tab/>
      </w:r>
    </w:p>
    <w:p w14:paraId="47160372" w14:textId="77777777" w:rsidR="00C118A7" w:rsidRPr="00C118A7" w:rsidRDefault="00C118A7" w:rsidP="00C118A7">
      <w:pPr>
        <w:ind w:firstLine="720"/>
        <w:rPr>
          <w:b/>
          <w:u w:val="single"/>
        </w:rPr>
      </w:pPr>
      <w:r w:rsidRPr="00C118A7">
        <w:rPr>
          <w:b/>
          <w:u w:val="single"/>
        </w:rPr>
        <w:t>Scoring Methodology</w:t>
      </w:r>
    </w:p>
    <w:p w14:paraId="328EF578" w14:textId="77777777" w:rsidR="00C118A7" w:rsidRPr="00C118A7" w:rsidRDefault="00C118A7" w:rsidP="00C118A7"/>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6497"/>
      </w:tblGrid>
      <w:tr w:rsidR="00C118A7" w:rsidRPr="00C118A7" w14:paraId="2A7C51FF" w14:textId="77777777" w:rsidTr="00CD7003">
        <w:tc>
          <w:tcPr>
            <w:tcW w:w="2442" w:type="dxa"/>
            <w:shd w:val="clear" w:color="auto" w:fill="auto"/>
            <w:vAlign w:val="center"/>
          </w:tcPr>
          <w:p w14:paraId="316BDA41" w14:textId="77777777" w:rsidR="00C118A7" w:rsidRPr="00C118A7" w:rsidRDefault="00C118A7" w:rsidP="00C118A7">
            <w:pPr>
              <w:rPr>
                <w:b/>
              </w:rPr>
            </w:pPr>
            <w:r w:rsidRPr="00C118A7">
              <w:rPr>
                <w:b/>
              </w:rPr>
              <w:t xml:space="preserve">3 </w:t>
            </w:r>
            <w:r w:rsidR="00E95F51">
              <w:rPr>
                <w:b/>
              </w:rPr>
              <w:t>–</w:t>
            </w:r>
            <w:r w:rsidRPr="00C118A7">
              <w:rPr>
                <w:b/>
              </w:rPr>
              <w:t xml:space="preserve"> Good</w:t>
            </w:r>
          </w:p>
        </w:tc>
        <w:tc>
          <w:tcPr>
            <w:tcW w:w="6774" w:type="dxa"/>
            <w:shd w:val="clear" w:color="auto" w:fill="auto"/>
          </w:tcPr>
          <w:p w14:paraId="1C0FF024" w14:textId="0395D948" w:rsidR="00C118A7" w:rsidRPr="00C118A7" w:rsidRDefault="00C118A7" w:rsidP="002B591D">
            <w:r w:rsidRPr="00C118A7">
              <w:t xml:space="preserve">The response addresses all the key points listed above in sufficient detail providing confidence that the </w:t>
            </w:r>
            <w:r w:rsidR="00150BA8">
              <w:t xml:space="preserve">Tenderer will fully address all requirements. The Tenderer will </w:t>
            </w:r>
            <w:r w:rsidR="000F0808">
              <w:t>provide data downloads on demand</w:t>
            </w:r>
            <w:r w:rsidR="005130A8">
              <w:t xml:space="preserve"> </w:t>
            </w:r>
            <w:r w:rsidR="00CF0963">
              <w:t>multiple times per month</w:t>
            </w:r>
            <w:r w:rsidR="00C75439">
              <w:t xml:space="preserve">. </w:t>
            </w:r>
            <w:r w:rsidR="00915D32">
              <w:t xml:space="preserve">   </w:t>
            </w:r>
          </w:p>
        </w:tc>
      </w:tr>
      <w:tr w:rsidR="00C118A7" w:rsidRPr="00C118A7" w14:paraId="3E3261C7" w14:textId="77777777" w:rsidTr="00CD7003">
        <w:tc>
          <w:tcPr>
            <w:tcW w:w="2442" w:type="dxa"/>
            <w:shd w:val="clear" w:color="auto" w:fill="auto"/>
            <w:vAlign w:val="center"/>
          </w:tcPr>
          <w:p w14:paraId="7E6270F6" w14:textId="77777777" w:rsidR="00C118A7" w:rsidRPr="00C118A7" w:rsidRDefault="00C118A7" w:rsidP="00C118A7">
            <w:pPr>
              <w:rPr>
                <w:b/>
              </w:rPr>
            </w:pPr>
            <w:r w:rsidRPr="00C118A7">
              <w:rPr>
                <w:b/>
              </w:rPr>
              <w:t xml:space="preserve">2 </w:t>
            </w:r>
            <w:r w:rsidR="00E95F51">
              <w:rPr>
                <w:b/>
              </w:rPr>
              <w:t>–</w:t>
            </w:r>
            <w:r w:rsidRPr="00C118A7">
              <w:rPr>
                <w:b/>
              </w:rPr>
              <w:t xml:space="preserve"> Acceptable</w:t>
            </w:r>
          </w:p>
        </w:tc>
        <w:tc>
          <w:tcPr>
            <w:tcW w:w="6774" w:type="dxa"/>
            <w:shd w:val="clear" w:color="auto" w:fill="auto"/>
          </w:tcPr>
          <w:p w14:paraId="66D2C091" w14:textId="0EFF5743" w:rsidR="00C118A7" w:rsidRPr="00C118A7" w:rsidRDefault="00C118A7" w:rsidP="00C118A7">
            <w:r w:rsidRPr="00C118A7">
              <w:t xml:space="preserve">The response addresses most of the key points listed above in detail OR the Tenderer has provided all the key points listed above but lacks detail in answering the question fully. </w:t>
            </w:r>
            <w:r w:rsidRPr="00C118A7">
              <w:br/>
            </w:r>
            <w:r w:rsidRPr="00C118A7">
              <w:br/>
            </w:r>
            <w:r w:rsidR="002B591D">
              <w:t xml:space="preserve">The response demonstrates Tenderer commitment to provide frequent data downloads of at least once per month.  </w:t>
            </w:r>
          </w:p>
        </w:tc>
      </w:tr>
      <w:tr w:rsidR="00C118A7" w:rsidRPr="00C118A7" w14:paraId="6F2152C6" w14:textId="77777777" w:rsidTr="00CD7003">
        <w:tc>
          <w:tcPr>
            <w:tcW w:w="2442" w:type="dxa"/>
            <w:shd w:val="clear" w:color="auto" w:fill="auto"/>
            <w:vAlign w:val="center"/>
          </w:tcPr>
          <w:p w14:paraId="2DDDE6BC" w14:textId="77777777" w:rsidR="00C118A7" w:rsidRPr="00C118A7" w:rsidRDefault="00C118A7" w:rsidP="00C118A7">
            <w:pPr>
              <w:rPr>
                <w:b/>
              </w:rPr>
            </w:pPr>
            <w:r w:rsidRPr="00C118A7">
              <w:rPr>
                <w:b/>
              </w:rPr>
              <w:t>1 - Minor Concerns</w:t>
            </w:r>
          </w:p>
        </w:tc>
        <w:tc>
          <w:tcPr>
            <w:tcW w:w="6774" w:type="dxa"/>
            <w:shd w:val="clear" w:color="auto" w:fill="auto"/>
          </w:tcPr>
          <w:p w14:paraId="7FBF7610" w14:textId="0C03D514" w:rsidR="00C118A7" w:rsidRPr="00C118A7" w:rsidRDefault="00C118A7" w:rsidP="00C118A7">
            <w:r w:rsidRPr="00C118A7">
              <w:t>The response addresses some of the key points listed above in detail OR the Tenderer has provided most of the key points listed above but lacks detail. The response does not provide confidence that the Tenderer will address these key aspects of the requirement</w:t>
            </w:r>
            <w:r w:rsidR="002B591D">
              <w:t xml:space="preserve">.  Data downloads are limited per annum and not available on a monthly basis.  </w:t>
            </w:r>
          </w:p>
        </w:tc>
      </w:tr>
      <w:tr w:rsidR="00C118A7" w:rsidRPr="00C118A7" w14:paraId="2769776B" w14:textId="77777777" w:rsidTr="00CD7003">
        <w:tc>
          <w:tcPr>
            <w:tcW w:w="2442" w:type="dxa"/>
            <w:shd w:val="clear" w:color="auto" w:fill="auto"/>
            <w:vAlign w:val="center"/>
          </w:tcPr>
          <w:p w14:paraId="6C7165A5" w14:textId="77777777" w:rsidR="00C118A7" w:rsidRPr="00C118A7" w:rsidRDefault="00C118A7" w:rsidP="00C118A7">
            <w:pPr>
              <w:rPr>
                <w:b/>
              </w:rPr>
            </w:pPr>
            <w:r w:rsidRPr="00C118A7">
              <w:rPr>
                <w:b/>
              </w:rPr>
              <w:t>0 - Major Concerns</w:t>
            </w:r>
          </w:p>
        </w:tc>
        <w:tc>
          <w:tcPr>
            <w:tcW w:w="6774" w:type="dxa"/>
            <w:shd w:val="clear" w:color="auto" w:fill="auto"/>
          </w:tcPr>
          <w:p w14:paraId="47FF4792" w14:textId="0CAF8D4B" w:rsidR="00C118A7" w:rsidRPr="00C118A7" w:rsidRDefault="00C118A7" w:rsidP="00C118A7">
            <w:r w:rsidRPr="00C118A7">
              <w:t>The Tenderer has failed to address the question, submitted a nil response or any element of the response gives cause for major concern.</w:t>
            </w:r>
          </w:p>
        </w:tc>
      </w:tr>
    </w:tbl>
    <w:p w14:paraId="1417135F" w14:textId="77777777" w:rsidR="00C118A7" w:rsidRPr="00774D06" w:rsidRDefault="00C118A7" w:rsidP="00AF570A"/>
    <w:p w14:paraId="544EF2A3" w14:textId="4F7E9D0B" w:rsidR="00AF570A" w:rsidRPr="00AF570A" w:rsidRDefault="00A3085E" w:rsidP="00AF570A">
      <w:pPr>
        <w:pStyle w:val="Heading1"/>
      </w:pPr>
      <w:r>
        <w:t>Support &amp;</w:t>
      </w:r>
      <w:r w:rsidR="00AF570A" w:rsidRPr="00AF570A">
        <w:t xml:space="preserve"> Maintenance </w:t>
      </w:r>
      <w:r w:rsidR="00EC5704">
        <w:t>(Weighting 5</w:t>
      </w:r>
      <w:r w:rsidR="00090E83">
        <w:t>%)</w:t>
      </w:r>
    </w:p>
    <w:p w14:paraId="73BF29DC" w14:textId="77777777" w:rsidR="00AF570A" w:rsidRDefault="00AF570A" w:rsidP="00C8002D">
      <w:pPr>
        <w:pStyle w:val="Heading2"/>
        <w:rPr>
          <w:b/>
        </w:rPr>
      </w:pPr>
      <w:r>
        <w:t>Please fully summarise the proposed Support Service provided including, without limitation to:</w:t>
      </w:r>
    </w:p>
    <w:p w14:paraId="07B5C42D" w14:textId="77777777" w:rsidR="00AF570A" w:rsidRPr="008A5F72" w:rsidRDefault="00AF570A" w:rsidP="008A5F72">
      <w:pPr>
        <w:pStyle w:val="ListParagraph"/>
      </w:pPr>
      <w:r w:rsidRPr="008A5F72">
        <w:t>Fault/fix response</w:t>
      </w:r>
      <w:r w:rsidR="00BB2B96" w:rsidRPr="008A5F72">
        <w:t xml:space="preserve"> times for clear</w:t>
      </w:r>
      <w:r w:rsidRPr="008A5F72">
        <w:t xml:space="preserve"> levels of criticality and service desk availability;</w:t>
      </w:r>
    </w:p>
    <w:p w14:paraId="6333B183" w14:textId="77777777" w:rsidR="00AF570A" w:rsidRPr="008A5F72" w:rsidRDefault="00AF570A" w:rsidP="008A5F72">
      <w:pPr>
        <w:pStyle w:val="ListParagraph"/>
      </w:pPr>
      <w:r w:rsidRPr="008A5F72">
        <w:t>System uptime performance commitments, including KPIs, and any top two to three service level packages provided covering Support/Hosting;</w:t>
      </w:r>
    </w:p>
    <w:p w14:paraId="512DCD26" w14:textId="77777777" w:rsidR="00AF570A" w:rsidRPr="008A5F72" w:rsidRDefault="00AF570A" w:rsidP="008A5F72">
      <w:pPr>
        <w:pStyle w:val="ListParagraph"/>
      </w:pPr>
      <w:r w:rsidRPr="008A5F72">
        <w:t>Service credits included within the main Support package KPIs provided;</w:t>
      </w:r>
    </w:p>
    <w:p w14:paraId="65240D7C" w14:textId="77777777" w:rsidR="00AF570A" w:rsidRDefault="00AF570A" w:rsidP="008A5F72">
      <w:pPr>
        <w:pStyle w:val="ListParagraph"/>
      </w:pPr>
      <w:r w:rsidRPr="008A5F72">
        <w:t>Policy on Upgrades/Patches and including the anticipated frequency of both minor/major upgrades and a clear distinction between the two;</w:t>
      </w:r>
    </w:p>
    <w:p w14:paraId="3E8B9062" w14:textId="200EFE63" w:rsidR="004571FD" w:rsidRPr="004571FD" w:rsidRDefault="004571FD" w:rsidP="004571FD">
      <w:pPr>
        <w:pStyle w:val="ListParagraph"/>
      </w:pPr>
      <w:r>
        <w:t xml:space="preserve">Regular testing by the vendor for bugs and circulation/communication of reports to the Customer.  </w:t>
      </w:r>
    </w:p>
    <w:p w14:paraId="3326305B" w14:textId="77777777" w:rsidR="006653D6" w:rsidRPr="008A5F72" w:rsidRDefault="006653D6" w:rsidP="008A5F72">
      <w:pPr>
        <w:pStyle w:val="ListParagraph"/>
      </w:pPr>
      <w:r w:rsidRPr="008A5F72">
        <w:t xml:space="preserve">Flexibility </w:t>
      </w:r>
      <w:r w:rsidR="008F1692" w:rsidRPr="008A5F72">
        <w:t xml:space="preserve">provided </w:t>
      </w:r>
      <w:r w:rsidRPr="008A5F72">
        <w:t xml:space="preserve">to Customers </w:t>
      </w:r>
      <w:r w:rsidR="008F1692" w:rsidRPr="008A5F72">
        <w:t>with a potential need to defer latest Upgrades</w:t>
      </w:r>
      <w:r w:rsidR="00CC4C65" w:rsidRPr="008A5F72">
        <w:t xml:space="preserve"> or revert to a previous version.  </w:t>
      </w:r>
    </w:p>
    <w:p w14:paraId="5B19D286" w14:textId="7E6FB447" w:rsidR="00AF570A" w:rsidRDefault="00AF570A" w:rsidP="008A5F72">
      <w:pPr>
        <w:pStyle w:val="ListParagraph"/>
      </w:pPr>
      <w:r w:rsidRPr="008A5F72">
        <w:t>How the r</w:t>
      </w:r>
      <w:r w:rsidR="008F1692" w:rsidRPr="008A5F72">
        <w:t>ollout of U</w:t>
      </w:r>
      <w:r w:rsidR="002A2647" w:rsidRPr="008A5F72">
        <w:t>pgrades is supported.</w:t>
      </w:r>
    </w:p>
    <w:p w14:paraId="6A807716" w14:textId="77777777" w:rsidR="00B021A6" w:rsidRPr="00C118A7" w:rsidRDefault="00B021A6" w:rsidP="00B021A6">
      <w:pPr>
        <w:pStyle w:val="ListParagraph"/>
      </w:pPr>
      <w:r w:rsidRPr="00C118A7">
        <w:t>Scoring Methodology</w:t>
      </w:r>
    </w:p>
    <w:p w14:paraId="5D657908" w14:textId="77777777" w:rsidR="00B021A6" w:rsidRDefault="00B021A6" w:rsidP="00B021A6">
      <w:pPr>
        <w:ind w:left="851"/>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6497"/>
      </w:tblGrid>
      <w:tr w:rsidR="00B021A6" w:rsidRPr="00C118A7" w14:paraId="041DCBC8" w14:textId="77777777" w:rsidTr="00473D92">
        <w:tc>
          <w:tcPr>
            <w:tcW w:w="2442" w:type="dxa"/>
            <w:shd w:val="clear" w:color="auto" w:fill="auto"/>
            <w:vAlign w:val="center"/>
          </w:tcPr>
          <w:p w14:paraId="18E11348" w14:textId="77777777" w:rsidR="00B021A6" w:rsidRPr="00C118A7" w:rsidRDefault="00B021A6" w:rsidP="00473D92">
            <w:pPr>
              <w:rPr>
                <w:b/>
              </w:rPr>
            </w:pPr>
            <w:r w:rsidRPr="00C118A7">
              <w:rPr>
                <w:b/>
              </w:rPr>
              <w:t>3 - Good</w:t>
            </w:r>
          </w:p>
        </w:tc>
        <w:tc>
          <w:tcPr>
            <w:tcW w:w="6774" w:type="dxa"/>
            <w:shd w:val="clear" w:color="auto" w:fill="auto"/>
          </w:tcPr>
          <w:p w14:paraId="51A6B941" w14:textId="76CFF821" w:rsidR="00B021A6" w:rsidRPr="00C118A7" w:rsidRDefault="00B021A6" w:rsidP="00473D92">
            <w:r w:rsidRPr="00C118A7">
              <w:t xml:space="preserve">The </w:t>
            </w:r>
            <w:r>
              <w:t xml:space="preserve">Tenderer’s </w:t>
            </w:r>
            <w:r w:rsidRPr="00C118A7">
              <w:t>response addresses all the key points listed above in sufficient detail providing confidence that the</w:t>
            </w:r>
            <w:r>
              <w:t xml:space="preserve"> Tenderer will fully address the requirements.  A flexible range of </w:t>
            </w:r>
            <w:r w:rsidR="004571FD">
              <w:t xml:space="preserve">effective </w:t>
            </w:r>
            <w:r>
              <w:t xml:space="preserve">service </w:t>
            </w:r>
            <w:r w:rsidR="004571FD">
              <w:t xml:space="preserve">level </w:t>
            </w:r>
            <w:r>
              <w:t>opt</w:t>
            </w:r>
            <w:r w:rsidR="004571FD">
              <w:t>ions, incl</w:t>
            </w:r>
            <w:r w:rsidR="001851F5">
              <w:t>uding</w:t>
            </w:r>
            <w:r w:rsidR="004571FD">
              <w:t xml:space="preserve"> </w:t>
            </w:r>
            <w:r>
              <w:t>Service Credi</w:t>
            </w:r>
            <w:r w:rsidR="004571FD">
              <w:t>t commitments</w:t>
            </w:r>
            <w:r w:rsidR="001851F5">
              <w:t xml:space="preserve"> with commercial leverage</w:t>
            </w:r>
            <w:r w:rsidR="004571FD">
              <w:t xml:space="preserve">, are available.  </w:t>
            </w:r>
          </w:p>
        </w:tc>
      </w:tr>
      <w:tr w:rsidR="00B021A6" w:rsidRPr="00C118A7" w14:paraId="66C35327" w14:textId="77777777" w:rsidTr="00473D92">
        <w:tc>
          <w:tcPr>
            <w:tcW w:w="2442" w:type="dxa"/>
            <w:shd w:val="clear" w:color="auto" w:fill="auto"/>
            <w:vAlign w:val="center"/>
          </w:tcPr>
          <w:p w14:paraId="061F70FB" w14:textId="77777777" w:rsidR="00B021A6" w:rsidRPr="00C118A7" w:rsidRDefault="00B021A6" w:rsidP="00473D92">
            <w:pPr>
              <w:rPr>
                <w:b/>
              </w:rPr>
            </w:pPr>
            <w:r w:rsidRPr="00C118A7">
              <w:rPr>
                <w:b/>
              </w:rPr>
              <w:t>2 - Acceptable</w:t>
            </w:r>
          </w:p>
        </w:tc>
        <w:tc>
          <w:tcPr>
            <w:tcW w:w="6774" w:type="dxa"/>
            <w:shd w:val="clear" w:color="auto" w:fill="auto"/>
          </w:tcPr>
          <w:p w14:paraId="7F3DFEEF" w14:textId="77777777" w:rsidR="00B021A6" w:rsidRPr="00C118A7" w:rsidRDefault="00B021A6" w:rsidP="00473D92">
            <w:r w:rsidRPr="00C118A7">
              <w:t xml:space="preserve">The </w:t>
            </w:r>
            <w:r>
              <w:t xml:space="preserve">Tenderer’s </w:t>
            </w:r>
            <w:r w:rsidRPr="00C118A7">
              <w:t xml:space="preserve">response addresses most of the key points listed above in detail OR the Tenderer has provided all the key points listed above but lacks detail in answering the question fully. </w:t>
            </w:r>
            <w:r w:rsidRPr="00C118A7">
              <w:br/>
            </w:r>
          </w:p>
          <w:p w14:paraId="086A080B" w14:textId="77777777" w:rsidR="00B021A6" w:rsidRPr="00C118A7" w:rsidRDefault="00B021A6" w:rsidP="00473D92">
            <w:r>
              <w:t xml:space="preserve">The </w:t>
            </w:r>
            <w:r w:rsidRPr="00C118A7">
              <w:t xml:space="preserve">Tenderer has provided all the key points listed above but lacks detail in answering the question fully. </w:t>
            </w:r>
          </w:p>
        </w:tc>
      </w:tr>
      <w:tr w:rsidR="00B021A6" w:rsidRPr="00C118A7" w14:paraId="1038FAE5" w14:textId="77777777" w:rsidTr="00473D92">
        <w:tc>
          <w:tcPr>
            <w:tcW w:w="2442" w:type="dxa"/>
            <w:shd w:val="clear" w:color="auto" w:fill="auto"/>
            <w:vAlign w:val="center"/>
          </w:tcPr>
          <w:p w14:paraId="6E59F21B" w14:textId="77777777" w:rsidR="00B021A6" w:rsidRPr="00C118A7" w:rsidRDefault="00B021A6" w:rsidP="00473D92">
            <w:pPr>
              <w:rPr>
                <w:b/>
              </w:rPr>
            </w:pPr>
            <w:r w:rsidRPr="00C118A7">
              <w:rPr>
                <w:b/>
              </w:rPr>
              <w:t>1 - Minor Concerns</w:t>
            </w:r>
          </w:p>
        </w:tc>
        <w:tc>
          <w:tcPr>
            <w:tcW w:w="6774" w:type="dxa"/>
            <w:shd w:val="clear" w:color="auto" w:fill="auto"/>
          </w:tcPr>
          <w:p w14:paraId="0BA9E814" w14:textId="77777777" w:rsidR="00B021A6" w:rsidRPr="00C118A7" w:rsidRDefault="00B021A6" w:rsidP="00473D92">
            <w:r w:rsidRPr="00C118A7">
              <w:t>The response addresses some of the key points listed above in detail OR the Tenderer has provided most of the key points listed above but lacks detail. The response does not provide confidence that the Tenderer will address these key aspects of the requirement</w:t>
            </w:r>
          </w:p>
        </w:tc>
      </w:tr>
      <w:tr w:rsidR="00B021A6" w:rsidRPr="00C118A7" w14:paraId="446131CB" w14:textId="77777777" w:rsidTr="00473D92">
        <w:tc>
          <w:tcPr>
            <w:tcW w:w="2442" w:type="dxa"/>
            <w:shd w:val="clear" w:color="auto" w:fill="auto"/>
            <w:vAlign w:val="center"/>
          </w:tcPr>
          <w:p w14:paraId="74FDDC6F" w14:textId="77777777" w:rsidR="00B021A6" w:rsidRPr="00C118A7" w:rsidRDefault="00B021A6" w:rsidP="00473D92">
            <w:pPr>
              <w:rPr>
                <w:b/>
              </w:rPr>
            </w:pPr>
            <w:r w:rsidRPr="00C118A7">
              <w:rPr>
                <w:b/>
              </w:rPr>
              <w:t>0 - Major Concerns</w:t>
            </w:r>
          </w:p>
        </w:tc>
        <w:tc>
          <w:tcPr>
            <w:tcW w:w="6774" w:type="dxa"/>
            <w:shd w:val="clear" w:color="auto" w:fill="auto"/>
          </w:tcPr>
          <w:p w14:paraId="49FE85D6" w14:textId="77777777" w:rsidR="00B021A6" w:rsidRPr="00C118A7" w:rsidRDefault="00B021A6" w:rsidP="00473D92">
            <w:r w:rsidRPr="00C118A7">
              <w:t>The Tenderer has failed to address the question, submitted a nil response or any element of the response gives cause for major concern.</w:t>
            </w:r>
          </w:p>
        </w:tc>
      </w:tr>
    </w:tbl>
    <w:p w14:paraId="20D0BD29" w14:textId="77777777" w:rsidR="00FD6B66" w:rsidRPr="00FD6B66" w:rsidRDefault="00FD6B66" w:rsidP="00FD6B66"/>
    <w:p w14:paraId="369F800E" w14:textId="1C3408C9" w:rsidR="00FB2364" w:rsidRDefault="00A3085E" w:rsidP="00A3085E">
      <w:pPr>
        <w:pStyle w:val="Heading1"/>
      </w:pPr>
      <w:r w:rsidRPr="00AF570A">
        <w:t>Hosted Infrastructure</w:t>
      </w:r>
      <w:r w:rsidR="00EC5704">
        <w:t xml:space="preserve"> (Weighting 5%)</w:t>
      </w:r>
    </w:p>
    <w:p w14:paraId="08AE32C1" w14:textId="24D7DA37" w:rsidR="00AF570A" w:rsidRPr="00FE66E1" w:rsidRDefault="00A3085E" w:rsidP="00C8002D">
      <w:pPr>
        <w:pStyle w:val="Heading2"/>
      </w:pPr>
      <w:r>
        <w:t xml:space="preserve">GSA requires a managed hosting/cloud hosting option. </w:t>
      </w:r>
      <w:r w:rsidR="00AF570A">
        <w:t xml:space="preserve">Tenderers shall fully summarise their proposed Managed Hosting/Infrastructure solution including, without limitation to: </w:t>
      </w:r>
    </w:p>
    <w:p w14:paraId="5F6644B8" w14:textId="2284C0F2" w:rsidR="00AF570A" w:rsidRPr="00E0707E" w:rsidRDefault="00AF570A" w:rsidP="007A29B8">
      <w:pPr>
        <w:pStyle w:val="ListParagraph"/>
      </w:pPr>
      <w:r w:rsidRPr="00E0707E">
        <w:t>Whether Hosting is Cloud based or equivalent with one or more of – Iaas; Paas; Saas;</w:t>
      </w:r>
    </w:p>
    <w:p w14:paraId="71671E95" w14:textId="716A89E1" w:rsidR="00AF570A" w:rsidRPr="00E0707E" w:rsidRDefault="00AF570A" w:rsidP="007A29B8">
      <w:pPr>
        <w:pStyle w:val="ListParagraph"/>
      </w:pPr>
      <w:r w:rsidRPr="00E0707E">
        <w:t xml:space="preserve">Hosting Location </w:t>
      </w:r>
      <w:r w:rsidR="00A938F1">
        <w:t>and other continents where the S</w:t>
      </w:r>
      <w:r w:rsidRPr="00E0707E">
        <w:t>ystem is fully operational;</w:t>
      </w:r>
    </w:p>
    <w:p w14:paraId="1C0D2EDF" w14:textId="133BA07E" w:rsidR="00AF570A" w:rsidRDefault="00AF570A" w:rsidP="007A29B8">
      <w:pPr>
        <w:pStyle w:val="ListParagraph"/>
      </w:pPr>
      <w:r w:rsidRPr="00E0707E">
        <w:t>The extent to which the Hosting Services are sub-contracted partly, fully or not at all;</w:t>
      </w:r>
      <w:r w:rsidR="00A3085E">
        <w:t xml:space="preserve"> </w:t>
      </w:r>
    </w:p>
    <w:p w14:paraId="36C9F95B" w14:textId="233F79B4" w:rsidR="00A3085E" w:rsidRDefault="0010117D" w:rsidP="00A3085E">
      <w:pPr>
        <w:pStyle w:val="ListParagraph"/>
      </w:pPr>
      <w:r w:rsidRPr="0010117D">
        <w:t xml:space="preserve">Input from Contractor </w:t>
      </w:r>
      <w:r w:rsidR="00A3085E" w:rsidRPr="0010117D">
        <w:t>to sub-contra</w:t>
      </w:r>
      <w:r w:rsidRPr="0010117D">
        <w:t xml:space="preserve">ctor and ability to </w:t>
      </w:r>
      <w:r w:rsidR="00A3085E" w:rsidRPr="0010117D">
        <w:t>manage</w:t>
      </w:r>
      <w:r w:rsidR="00A3085E">
        <w:t xml:space="preserve"> and </w:t>
      </w:r>
      <w:r>
        <w:t>influence O</w:t>
      </w:r>
      <w:r w:rsidR="00A3085E">
        <w:t>perating procedures</w:t>
      </w:r>
      <w:r w:rsidR="00CB3993">
        <w:t xml:space="preserve"> including Information Security;</w:t>
      </w:r>
      <w:r>
        <w:t xml:space="preserve">  </w:t>
      </w:r>
    </w:p>
    <w:p w14:paraId="15F6C22B" w14:textId="5B364E18" w:rsidR="0010117D" w:rsidRPr="0010117D" w:rsidRDefault="00CB3993" w:rsidP="0010117D">
      <w:pPr>
        <w:pStyle w:val="ListParagraph"/>
      </w:pPr>
      <w:r>
        <w:t xml:space="preserve">Specific </w:t>
      </w:r>
      <w:r w:rsidR="0032583B">
        <w:t>summary of</w:t>
      </w:r>
      <w:r w:rsidR="0010117D">
        <w:t xml:space="preserve"> how </w:t>
      </w:r>
      <w:r>
        <w:t xml:space="preserve">Customer </w:t>
      </w:r>
      <w:r w:rsidR="0010117D">
        <w:t xml:space="preserve">Information Security is managed including people, process and technology.  </w:t>
      </w:r>
    </w:p>
    <w:p w14:paraId="40CBD47D" w14:textId="77777777" w:rsidR="00AF570A" w:rsidRPr="00E0707E" w:rsidRDefault="00AF570A" w:rsidP="007A29B8">
      <w:pPr>
        <w:pStyle w:val="ListParagraph"/>
      </w:pPr>
      <w:r w:rsidRPr="00E0707E">
        <w:t>Storage provided as part of the core solution, further scalability and service flexibility to assist Customers in managing unanticipated volumes of content</w:t>
      </w:r>
    </w:p>
    <w:p w14:paraId="66A39114" w14:textId="77777777" w:rsidR="00AF570A" w:rsidRDefault="00AF570A" w:rsidP="007A29B8">
      <w:pPr>
        <w:pStyle w:val="ListParagraph"/>
      </w:pPr>
      <w:r w:rsidRPr="00E0707E">
        <w:t>How your Infrastructure set-up is capable of flexing to meet unanticipated volumes of user demand whilst maintaining your company’s most demanding service level performance obligations?</w:t>
      </w:r>
    </w:p>
    <w:p w14:paraId="2C01AC05" w14:textId="77777777" w:rsidR="00C118A7" w:rsidRPr="00C118A7" w:rsidRDefault="00C118A7" w:rsidP="00901CF1">
      <w:pPr>
        <w:ind w:firstLine="720"/>
      </w:pPr>
      <w:r w:rsidRPr="00C118A7">
        <w:t>This question will be evaluated and scored using the scoring methodology below.</w:t>
      </w:r>
    </w:p>
    <w:p w14:paraId="452673BE" w14:textId="77777777" w:rsidR="00011D05" w:rsidRPr="00C118A7" w:rsidRDefault="00C118A7" w:rsidP="00C118A7">
      <w:pPr>
        <w:rPr>
          <w:b/>
          <w:u w:val="single"/>
        </w:rPr>
      </w:pPr>
      <w:r w:rsidRPr="00C118A7">
        <w:rPr>
          <w:b/>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6497"/>
      </w:tblGrid>
      <w:tr w:rsidR="00011D05" w:rsidRPr="00C118A7" w14:paraId="1CC8D4BC" w14:textId="77777777" w:rsidTr="00473D92">
        <w:tc>
          <w:tcPr>
            <w:tcW w:w="2442" w:type="dxa"/>
            <w:shd w:val="clear" w:color="auto" w:fill="auto"/>
            <w:vAlign w:val="center"/>
          </w:tcPr>
          <w:p w14:paraId="6F331FB4" w14:textId="77777777" w:rsidR="00011D05" w:rsidRPr="00C118A7" w:rsidRDefault="00011D05" w:rsidP="00473D92">
            <w:pPr>
              <w:rPr>
                <w:b/>
              </w:rPr>
            </w:pPr>
            <w:r w:rsidRPr="00C118A7">
              <w:rPr>
                <w:b/>
              </w:rPr>
              <w:t>3 - Good</w:t>
            </w:r>
          </w:p>
        </w:tc>
        <w:tc>
          <w:tcPr>
            <w:tcW w:w="6774" w:type="dxa"/>
            <w:shd w:val="clear" w:color="auto" w:fill="auto"/>
          </w:tcPr>
          <w:p w14:paraId="156347DE" w14:textId="26E646BC" w:rsidR="00011D05" w:rsidRPr="00C118A7" w:rsidRDefault="00011D05" w:rsidP="00607E0A">
            <w:r w:rsidRPr="00C118A7">
              <w:t xml:space="preserve">The </w:t>
            </w:r>
            <w:r>
              <w:t xml:space="preserve">Tenderer’s </w:t>
            </w:r>
            <w:r w:rsidRPr="00C118A7">
              <w:t>response addresses all the key points listed above in sufficient detail providing confidence that the</w:t>
            </w:r>
            <w:r>
              <w:t xml:space="preserve"> Tenderer will fully address the requirements.  </w:t>
            </w:r>
          </w:p>
        </w:tc>
      </w:tr>
      <w:tr w:rsidR="00011D05" w:rsidRPr="00C118A7" w14:paraId="70632F89" w14:textId="77777777" w:rsidTr="00473D92">
        <w:tc>
          <w:tcPr>
            <w:tcW w:w="2442" w:type="dxa"/>
            <w:shd w:val="clear" w:color="auto" w:fill="auto"/>
            <w:vAlign w:val="center"/>
          </w:tcPr>
          <w:p w14:paraId="5F95F5E7" w14:textId="77777777" w:rsidR="00011D05" w:rsidRPr="00C118A7" w:rsidRDefault="00011D05" w:rsidP="00473D92">
            <w:pPr>
              <w:rPr>
                <w:b/>
              </w:rPr>
            </w:pPr>
            <w:r w:rsidRPr="00C118A7">
              <w:rPr>
                <w:b/>
              </w:rPr>
              <w:t>2 - Acceptable</w:t>
            </w:r>
          </w:p>
        </w:tc>
        <w:tc>
          <w:tcPr>
            <w:tcW w:w="6774" w:type="dxa"/>
            <w:shd w:val="clear" w:color="auto" w:fill="auto"/>
          </w:tcPr>
          <w:p w14:paraId="18F7AAE1" w14:textId="6B3452F1" w:rsidR="00011D05" w:rsidRPr="00C118A7" w:rsidRDefault="00011D05" w:rsidP="00607E0A">
            <w:r w:rsidRPr="00C118A7">
              <w:t xml:space="preserve">The </w:t>
            </w:r>
            <w:r>
              <w:t xml:space="preserve">Tenderer’s </w:t>
            </w:r>
            <w:r w:rsidRPr="00C118A7">
              <w:t xml:space="preserve">response addresses most of the key points listed above in detail OR the Tenderer has provided all the key points listed above but lacks detail in answering the question fully. </w:t>
            </w:r>
            <w:r w:rsidRPr="00C118A7">
              <w:br/>
            </w:r>
          </w:p>
        </w:tc>
      </w:tr>
      <w:tr w:rsidR="00011D05" w:rsidRPr="00C118A7" w14:paraId="4205ABD5" w14:textId="77777777" w:rsidTr="00473D92">
        <w:tc>
          <w:tcPr>
            <w:tcW w:w="2442" w:type="dxa"/>
            <w:shd w:val="clear" w:color="auto" w:fill="auto"/>
            <w:vAlign w:val="center"/>
          </w:tcPr>
          <w:p w14:paraId="282384A5" w14:textId="77777777" w:rsidR="00011D05" w:rsidRPr="00C118A7" w:rsidRDefault="00011D05" w:rsidP="00473D92">
            <w:pPr>
              <w:rPr>
                <w:b/>
              </w:rPr>
            </w:pPr>
            <w:r w:rsidRPr="00C118A7">
              <w:rPr>
                <w:b/>
              </w:rPr>
              <w:t>1 - Minor Concerns</w:t>
            </w:r>
          </w:p>
        </w:tc>
        <w:tc>
          <w:tcPr>
            <w:tcW w:w="6774" w:type="dxa"/>
            <w:shd w:val="clear" w:color="auto" w:fill="auto"/>
          </w:tcPr>
          <w:p w14:paraId="75A47ABD" w14:textId="77777777" w:rsidR="00011D05" w:rsidRPr="00C118A7" w:rsidRDefault="00011D05" w:rsidP="00473D92">
            <w:r w:rsidRPr="00C118A7">
              <w:t>The response addresses some of the key points listed above in detail OR the Tenderer has provided most of the key points listed above but lacks detail. The response does not provide confidence that the Tenderer will address these key aspects of the requirement</w:t>
            </w:r>
          </w:p>
        </w:tc>
      </w:tr>
      <w:tr w:rsidR="00011D05" w:rsidRPr="00C118A7" w14:paraId="79F63EEC" w14:textId="77777777" w:rsidTr="00473D92">
        <w:tc>
          <w:tcPr>
            <w:tcW w:w="2442" w:type="dxa"/>
            <w:shd w:val="clear" w:color="auto" w:fill="auto"/>
            <w:vAlign w:val="center"/>
          </w:tcPr>
          <w:p w14:paraId="6E9DD7ED" w14:textId="77777777" w:rsidR="00011D05" w:rsidRPr="00C118A7" w:rsidRDefault="00011D05" w:rsidP="00473D92">
            <w:pPr>
              <w:rPr>
                <w:b/>
              </w:rPr>
            </w:pPr>
            <w:r w:rsidRPr="00C118A7">
              <w:rPr>
                <w:b/>
              </w:rPr>
              <w:t>0 - Major Concerns</w:t>
            </w:r>
          </w:p>
        </w:tc>
        <w:tc>
          <w:tcPr>
            <w:tcW w:w="6774" w:type="dxa"/>
            <w:shd w:val="clear" w:color="auto" w:fill="auto"/>
          </w:tcPr>
          <w:p w14:paraId="38719F3A" w14:textId="77777777" w:rsidR="00011D05" w:rsidRPr="00C118A7" w:rsidRDefault="00011D05" w:rsidP="00473D92">
            <w:r w:rsidRPr="00C118A7">
              <w:t>The Tenderer has failed to address the question, submitted a nil response or any element of the response gives cause for major concern.</w:t>
            </w:r>
          </w:p>
        </w:tc>
      </w:tr>
    </w:tbl>
    <w:p w14:paraId="57310A0A" w14:textId="3D06B3A4" w:rsidR="00C118A7" w:rsidRPr="00C118A7" w:rsidRDefault="00C118A7" w:rsidP="00C118A7">
      <w:pPr>
        <w:rPr>
          <w:b/>
          <w:u w:val="single"/>
        </w:rPr>
      </w:pPr>
    </w:p>
    <w:p w14:paraId="3F26F1C8" w14:textId="77777777" w:rsidR="00B47BFC" w:rsidRDefault="0088569E" w:rsidP="007A29B8">
      <w:pPr>
        <w:pStyle w:val="Heading2"/>
      </w:pPr>
      <w:r>
        <w:t xml:space="preserve">Please </w:t>
      </w:r>
      <w:r w:rsidR="007764BA">
        <w:t xml:space="preserve">also </w:t>
      </w:r>
      <w:r>
        <w:t>state, for information only, whether the proposed solution includes</w:t>
      </w:r>
      <w:r w:rsidRPr="00E0707E">
        <w:t xml:space="preserve"> </w:t>
      </w:r>
      <w:r>
        <w:t xml:space="preserve">an additional option for on-premises Hosting within Institutions.  </w:t>
      </w:r>
    </w:p>
    <w:p w14:paraId="59EAC7B9" w14:textId="515ECDAD" w:rsidR="0088569E" w:rsidRPr="00607E0A" w:rsidRDefault="0088569E" w:rsidP="00B47BFC">
      <w:pPr>
        <w:pStyle w:val="Heading2"/>
        <w:numPr>
          <w:ilvl w:val="0"/>
          <w:numId w:val="0"/>
        </w:numPr>
        <w:ind w:left="992"/>
        <w:rPr>
          <w:b/>
        </w:rPr>
      </w:pPr>
      <w:r w:rsidRPr="00607E0A">
        <w:rPr>
          <w:b/>
        </w:rPr>
        <w:t xml:space="preserve">Please note that this question </w:t>
      </w:r>
      <w:r w:rsidR="0010117D" w:rsidRPr="00607E0A">
        <w:rPr>
          <w:b/>
          <w:highlight w:val="yellow"/>
        </w:rPr>
        <w:t>7.2</w:t>
      </w:r>
      <w:r w:rsidR="0010117D" w:rsidRPr="00607E0A">
        <w:rPr>
          <w:b/>
        </w:rPr>
        <w:t xml:space="preserve"> </w:t>
      </w:r>
      <w:r w:rsidR="00607E0A">
        <w:rPr>
          <w:b/>
        </w:rPr>
        <w:t xml:space="preserve">is for information only and </w:t>
      </w:r>
      <w:r w:rsidRPr="00607E0A">
        <w:rPr>
          <w:b/>
        </w:rPr>
        <w:t xml:space="preserve">will not be scored.  </w:t>
      </w:r>
    </w:p>
    <w:p w14:paraId="0B47B8D6" w14:textId="14B2EDB3" w:rsidR="00AF570A" w:rsidRPr="00AF570A" w:rsidRDefault="00AF570A" w:rsidP="00AF570A">
      <w:pPr>
        <w:pStyle w:val="Heading1"/>
      </w:pPr>
      <w:r w:rsidRPr="00AF570A">
        <w:t>Project Management of System Implementation</w:t>
      </w:r>
      <w:r w:rsidR="00607E0A">
        <w:t xml:space="preserve"> (Weighting 7</w:t>
      </w:r>
      <w:r w:rsidR="00090E83">
        <w:t>%)</w:t>
      </w:r>
    </w:p>
    <w:p w14:paraId="598A9965" w14:textId="77777777" w:rsidR="00AF570A" w:rsidRDefault="00AF570A" w:rsidP="00AF570A">
      <w:r>
        <w:t>Tenderers shall clearly explain their proposed approach to System Implementation including, without limitation to, the response points below:</w:t>
      </w:r>
    </w:p>
    <w:p w14:paraId="352BA59D" w14:textId="2DAFF852" w:rsidR="00AF570A" w:rsidRPr="009A41ED" w:rsidRDefault="00B47BFC" w:rsidP="007A29B8">
      <w:pPr>
        <w:pStyle w:val="ListParagraph"/>
      </w:pPr>
      <w:r>
        <w:t>Project management m</w:t>
      </w:r>
      <w:r w:rsidR="00AF570A" w:rsidRPr="009A41ED">
        <w:t>ethodology</w:t>
      </w:r>
      <w:r w:rsidR="00153C08">
        <w:t xml:space="preserve"> </w:t>
      </w:r>
      <w:r w:rsidR="00A938F1">
        <w:t>for the implementation of the S</w:t>
      </w:r>
      <w:r w:rsidR="00F117E5">
        <w:t xml:space="preserve">ystem, </w:t>
      </w:r>
      <w:r w:rsidR="00153C08">
        <w:t xml:space="preserve">including </w:t>
      </w:r>
      <w:r w:rsidR="004B1654" w:rsidRPr="00E35C6C">
        <w:t>directly</w:t>
      </w:r>
      <w:r w:rsidR="004B1654">
        <w:t xml:space="preserve"> </w:t>
      </w:r>
      <w:r w:rsidR="00153C08">
        <w:t>relevant examples from previous VLE Implementations</w:t>
      </w:r>
      <w:r w:rsidR="00AF570A" w:rsidRPr="009A41ED">
        <w:t>;</w:t>
      </w:r>
    </w:p>
    <w:p w14:paraId="667D3D6B" w14:textId="77777777" w:rsidR="00AF570A" w:rsidRPr="009A41ED" w:rsidRDefault="00FF6FA5" w:rsidP="007A29B8">
      <w:pPr>
        <w:pStyle w:val="ListParagraph"/>
      </w:pPr>
      <w:r w:rsidRPr="009A41ED">
        <w:t>Migration approach</w:t>
      </w:r>
      <w:r>
        <w:t>;</w:t>
      </w:r>
    </w:p>
    <w:p w14:paraId="6DAA135A" w14:textId="77777777" w:rsidR="009A41ED" w:rsidRPr="009A41ED" w:rsidRDefault="00FF6FA5" w:rsidP="007A29B8">
      <w:pPr>
        <w:pStyle w:val="ListParagraph"/>
      </w:pPr>
      <w:r w:rsidRPr="009A41ED">
        <w:t xml:space="preserve">Contact </w:t>
      </w:r>
      <w:r>
        <w:t xml:space="preserve">and teamwork approach </w:t>
      </w:r>
      <w:r w:rsidRPr="009A41ED">
        <w:t>with Institutions</w:t>
      </w:r>
      <w:r>
        <w:t xml:space="preserve"> including the extent to which the Contractor implementation team will be </w:t>
      </w:r>
      <w:r w:rsidR="009861F3">
        <w:t xml:space="preserve">regularly </w:t>
      </w:r>
      <w:r>
        <w:t>available on-site;</w:t>
      </w:r>
    </w:p>
    <w:p w14:paraId="30B54999" w14:textId="33B01938" w:rsidR="00AF570A" w:rsidRPr="009A41ED" w:rsidRDefault="00B47BFC" w:rsidP="007A29B8">
      <w:pPr>
        <w:pStyle w:val="ListParagraph"/>
      </w:pPr>
      <w:r>
        <w:t>Input d</w:t>
      </w:r>
      <w:r w:rsidR="00AF570A" w:rsidRPr="009A41ED">
        <w:t>ep</w:t>
      </w:r>
      <w:r>
        <w:t>endencies on c</w:t>
      </w:r>
      <w:r w:rsidR="00FF6FA5">
        <w:t>ustomer</w:t>
      </w:r>
      <w:r w:rsidR="00AF570A" w:rsidRPr="009A41ED">
        <w:t xml:space="preserve"> Institutions</w:t>
      </w:r>
      <w:r w:rsidR="00FF6FA5">
        <w:t>, including resources,</w:t>
      </w:r>
      <w:r w:rsidR="00AF570A" w:rsidRPr="009A41ED">
        <w:t xml:space="preserve"> to deliver a successful Implementation; </w:t>
      </w:r>
    </w:p>
    <w:p w14:paraId="35D54D9F" w14:textId="3CD945BA" w:rsidR="00AF570A" w:rsidRPr="009A41ED" w:rsidRDefault="00B47BFC" w:rsidP="007A29B8">
      <w:pPr>
        <w:pStyle w:val="ListParagraph"/>
      </w:pPr>
      <w:r>
        <w:t>Specific project p</w:t>
      </w:r>
      <w:r w:rsidR="00AF570A" w:rsidRPr="009A41ED">
        <w:t>lan</w:t>
      </w:r>
      <w:r w:rsidR="00E0707E">
        <w:t>,</w:t>
      </w:r>
      <w:r w:rsidR="00AF570A" w:rsidRPr="009A41ED">
        <w:t xml:space="preserve"> </w:t>
      </w:r>
      <w:r w:rsidR="00E0707E">
        <w:t xml:space="preserve">with clear milestones, </w:t>
      </w:r>
      <w:r w:rsidR="00AF570A" w:rsidRPr="009A41ED">
        <w:t xml:space="preserve">for implementation of the Glasgow School of Art (GSA) scenario from January 2017 to </w:t>
      </w:r>
      <w:r w:rsidR="00956CA3">
        <w:t xml:space="preserve">a target “go-live” date of </w:t>
      </w:r>
      <w:r w:rsidR="006D6CC3">
        <w:t>1</w:t>
      </w:r>
      <w:r w:rsidR="006B6423">
        <w:t xml:space="preserve"> </w:t>
      </w:r>
      <w:r w:rsidR="00AF570A" w:rsidRPr="009A41ED">
        <w:t xml:space="preserve">September </w:t>
      </w:r>
      <w:r w:rsidR="0028234F">
        <w:t>2017</w:t>
      </w:r>
      <w:r w:rsidR="00956CA3">
        <w:t xml:space="preserve">; </w:t>
      </w:r>
    </w:p>
    <w:p w14:paraId="530F9AD6" w14:textId="0B9A7CD2" w:rsidR="00FF6FA5" w:rsidRDefault="00AF570A" w:rsidP="007A29B8">
      <w:pPr>
        <w:pStyle w:val="ListParagraph"/>
      </w:pPr>
      <w:r w:rsidRPr="009A41ED">
        <w:t>Key risks</w:t>
      </w:r>
      <w:r w:rsidR="007606B7">
        <w:t>, including timescales,</w:t>
      </w:r>
      <w:r w:rsidRPr="009A41ED">
        <w:t xml:space="preserve"> and proposed means of mitigation;</w:t>
      </w:r>
      <w:r w:rsidR="007606B7">
        <w:t xml:space="preserve"> </w:t>
      </w:r>
    </w:p>
    <w:p w14:paraId="18B3E7ED" w14:textId="6F4001E6" w:rsidR="00AF570A" w:rsidRPr="009A41ED" w:rsidRDefault="00B47BFC" w:rsidP="007A29B8">
      <w:pPr>
        <w:pStyle w:val="ListParagraph"/>
      </w:pPr>
      <w:r>
        <w:t>Training channels provided to c</w:t>
      </w:r>
      <w:r w:rsidR="00FF6FA5">
        <w:t xml:space="preserve">ustomer Institution System users including </w:t>
      </w:r>
      <w:r w:rsidR="00346ED8">
        <w:t xml:space="preserve">each </w:t>
      </w:r>
      <w:r w:rsidR="00FF6FA5">
        <w:t xml:space="preserve">level </w:t>
      </w:r>
      <w:r w:rsidR="009861F3">
        <w:t>of user, administrators to g</w:t>
      </w:r>
      <w:r w:rsidR="00346ED8">
        <w:t>eneral System User</w:t>
      </w:r>
      <w:r w:rsidR="009861F3">
        <w:t>s</w:t>
      </w:r>
      <w:r w:rsidR="006B6423">
        <w:t xml:space="preserve">.  </w:t>
      </w:r>
      <w:r w:rsidR="00FF6FA5">
        <w:t xml:space="preserve"> </w:t>
      </w:r>
    </w:p>
    <w:p w14:paraId="4881D794" w14:textId="37AE73EF" w:rsidR="004B1654" w:rsidRDefault="00B47BFC" w:rsidP="00C118A7">
      <w:r>
        <w:t>To ensure a like for like evalu</w:t>
      </w:r>
      <w:r w:rsidR="00EC5704">
        <w:t>ation, incumbent suppliers are</w:t>
      </w:r>
      <w:r>
        <w:t xml:space="preserve"> </w:t>
      </w:r>
      <w:r w:rsidR="00EC5704">
        <w:t xml:space="preserve">also </w:t>
      </w:r>
      <w:r>
        <w:t>required to submit a project plan as if implementing a new system or a major upgrade.</w:t>
      </w:r>
    </w:p>
    <w:p w14:paraId="48D51CF4" w14:textId="77777777" w:rsidR="00C118A7" w:rsidRPr="00C118A7" w:rsidRDefault="00C118A7" w:rsidP="00C118A7">
      <w:r w:rsidRPr="00C118A7">
        <w:t>This question will be evaluated and scored using the scoring methodology below.</w:t>
      </w:r>
    </w:p>
    <w:p w14:paraId="32C49CC6" w14:textId="77777777" w:rsidR="00C118A7" w:rsidRPr="00C118A7" w:rsidRDefault="00C118A7" w:rsidP="00C118A7">
      <w:pPr>
        <w:ind w:left="916"/>
        <w:rPr>
          <w:u w:val="single"/>
        </w:rPr>
      </w:pPr>
      <w:r w:rsidRPr="00C118A7">
        <w:tab/>
      </w:r>
    </w:p>
    <w:p w14:paraId="3BBF337E" w14:textId="77777777" w:rsidR="00C118A7" w:rsidRPr="00C118A7" w:rsidRDefault="00C118A7" w:rsidP="00C118A7">
      <w:pPr>
        <w:ind w:left="916"/>
        <w:rPr>
          <w:b/>
          <w:u w:val="single"/>
        </w:rPr>
      </w:pPr>
      <w:r w:rsidRPr="00C118A7">
        <w:rPr>
          <w:b/>
          <w:u w:val="single"/>
        </w:rPr>
        <w:t>Scoring Methodology</w:t>
      </w:r>
    </w:p>
    <w:p w14:paraId="31274144" w14:textId="77777777" w:rsidR="00C118A7" w:rsidRDefault="00C118A7" w:rsidP="009A41ED">
      <w:pPr>
        <w:ind w:left="1636"/>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6498"/>
      </w:tblGrid>
      <w:tr w:rsidR="00C118A7" w:rsidRPr="00C118A7" w14:paraId="4B707884" w14:textId="77777777" w:rsidTr="00CD7003">
        <w:tc>
          <w:tcPr>
            <w:tcW w:w="2442" w:type="dxa"/>
            <w:shd w:val="clear" w:color="auto" w:fill="auto"/>
            <w:vAlign w:val="center"/>
          </w:tcPr>
          <w:p w14:paraId="49FF9509" w14:textId="77777777" w:rsidR="00C118A7" w:rsidRPr="00C118A7" w:rsidRDefault="00C118A7" w:rsidP="00CD7003">
            <w:pPr>
              <w:rPr>
                <w:b/>
              </w:rPr>
            </w:pPr>
            <w:r w:rsidRPr="00C118A7">
              <w:rPr>
                <w:b/>
              </w:rPr>
              <w:t>3 - Good</w:t>
            </w:r>
          </w:p>
        </w:tc>
        <w:tc>
          <w:tcPr>
            <w:tcW w:w="6774" w:type="dxa"/>
            <w:shd w:val="clear" w:color="auto" w:fill="auto"/>
          </w:tcPr>
          <w:p w14:paraId="402AF7C8" w14:textId="4B53B182" w:rsidR="00C118A7" w:rsidRPr="00C118A7" w:rsidRDefault="00C118A7" w:rsidP="00CD7003">
            <w:r w:rsidRPr="00C118A7">
              <w:t>The response addresses all the key points listed above in sufficient detail providing confidence that the</w:t>
            </w:r>
            <w:r w:rsidR="006074CF">
              <w:t xml:space="preserve"> Tenderer will fully address all implementation requirements stat</w:t>
            </w:r>
            <w:r w:rsidR="00B47BFC">
              <w:t>ed, and provided a project plan to meet the GSA requirements as specified.</w:t>
            </w:r>
            <w:r w:rsidR="006074CF">
              <w:t xml:space="preserve"> </w:t>
            </w:r>
          </w:p>
        </w:tc>
      </w:tr>
      <w:tr w:rsidR="00C118A7" w:rsidRPr="00C118A7" w14:paraId="1510DE67" w14:textId="77777777" w:rsidTr="00CD7003">
        <w:tc>
          <w:tcPr>
            <w:tcW w:w="2442" w:type="dxa"/>
            <w:shd w:val="clear" w:color="auto" w:fill="auto"/>
            <w:vAlign w:val="center"/>
          </w:tcPr>
          <w:p w14:paraId="34CC3705" w14:textId="77777777" w:rsidR="00C118A7" w:rsidRPr="00C118A7" w:rsidRDefault="00C118A7" w:rsidP="00CD7003">
            <w:pPr>
              <w:rPr>
                <w:b/>
              </w:rPr>
            </w:pPr>
            <w:r w:rsidRPr="00C118A7">
              <w:rPr>
                <w:b/>
              </w:rPr>
              <w:t>2 - Acceptable</w:t>
            </w:r>
          </w:p>
        </w:tc>
        <w:tc>
          <w:tcPr>
            <w:tcW w:w="6774" w:type="dxa"/>
            <w:shd w:val="clear" w:color="auto" w:fill="auto"/>
          </w:tcPr>
          <w:p w14:paraId="17F109C7" w14:textId="7DD657A5" w:rsidR="00C118A7" w:rsidRPr="00C118A7" w:rsidRDefault="00C118A7" w:rsidP="00C50211">
            <w:r w:rsidRPr="00C118A7">
              <w:t xml:space="preserve">The response addresses most of the key points listed above in detail OR the Tenderer has provided all the key points listed above but lacks detail in answering the question fully. </w:t>
            </w:r>
            <w:r w:rsidRPr="00C118A7">
              <w:br/>
            </w:r>
            <w:r w:rsidRPr="00C118A7">
              <w:br/>
            </w:r>
          </w:p>
        </w:tc>
      </w:tr>
      <w:tr w:rsidR="00C118A7" w:rsidRPr="00C118A7" w14:paraId="105B8736" w14:textId="77777777" w:rsidTr="00CD7003">
        <w:tc>
          <w:tcPr>
            <w:tcW w:w="2442" w:type="dxa"/>
            <w:shd w:val="clear" w:color="auto" w:fill="auto"/>
            <w:vAlign w:val="center"/>
          </w:tcPr>
          <w:p w14:paraId="4330D75B" w14:textId="77777777" w:rsidR="00C118A7" w:rsidRPr="00C118A7" w:rsidRDefault="00C118A7" w:rsidP="00CD7003">
            <w:pPr>
              <w:rPr>
                <w:b/>
              </w:rPr>
            </w:pPr>
            <w:r w:rsidRPr="00C118A7">
              <w:rPr>
                <w:b/>
              </w:rPr>
              <w:t>1 - Minor Concerns</w:t>
            </w:r>
          </w:p>
        </w:tc>
        <w:tc>
          <w:tcPr>
            <w:tcW w:w="6774" w:type="dxa"/>
            <w:shd w:val="clear" w:color="auto" w:fill="auto"/>
          </w:tcPr>
          <w:p w14:paraId="1A642E93" w14:textId="58112B4C" w:rsidR="00C118A7" w:rsidRPr="00C118A7" w:rsidRDefault="00C118A7" w:rsidP="00CD7003">
            <w:r w:rsidRPr="00C118A7">
              <w:t>The response addresses some of the key points listed above in detail OR the Tenderer has provided most of the key points listed above but lacks detail. The response does not provide confidence that</w:t>
            </w:r>
            <w:r w:rsidR="006074CF">
              <w:t xml:space="preserve"> the Tenderer will address the stated</w:t>
            </w:r>
            <w:r w:rsidRPr="00C118A7">
              <w:t xml:space="preserve"> key aspects of the requirement</w:t>
            </w:r>
          </w:p>
        </w:tc>
      </w:tr>
      <w:tr w:rsidR="00C118A7" w:rsidRPr="00C118A7" w14:paraId="2140B15A" w14:textId="77777777" w:rsidTr="00CD7003">
        <w:tc>
          <w:tcPr>
            <w:tcW w:w="2442" w:type="dxa"/>
            <w:shd w:val="clear" w:color="auto" w:fill="auto"/>
            <w:vAlign w:val="center"/>
          </w:tcPr>
          <w:p w14:paraId="225ED2E0" w14:textId="77777777" w:rsidR="00C118A7" w:rsidRPr="00C118A7" w:rsidRDefault="00C118A7" w:rsidP="00CD7003">
            <w:pPr>
              <w:rPr>
                <w:b/>
              </w:rPr>
            </w:pPr>
            <w:r w:rsidRPr="00C118A7">
              <w:rPr>
                <w:b/>
              </w:rPr>
              <w:t>0 - Major Concerns</w:t>
            </w:r>
          </w:p>
        </w:tc>
        <w:tc>
          <w:tcPr>
            <w:tcW w:w="6774" w:type="dxa"/>
            <w:shd w:val="clear" w:color="auto" w:fill="auto"/>
          </w:tcPr>
          <w:p w14:paraId="046E946C" w14:textId="76CBD010" w:rsidR="00C118A7" w:rsidRPr="00C118A7" w:rsidRDefault="00C118A7" w:rsidP="00CD7003">
            <w:r w:rsidRPr="00C118A7">
              <w:t>The Tenderer has failed to address the question, submitted a nil response or any element of the response</w:t>
            </w:r>
            <w:r w:rsidR="006074CF">
              <w:t xml:space="preserve"> gives cause for major concern.</w:t>
            </w:r>
          </w:p>
        </w:tc>
      </w:tr>
    </w:tbl>
    <w:p w14:paraId="49E0936D" w14:textId="77777777" w:rsidR="00C118A7" w:rsidRPr="00C118A7" w:rsidRDefault="00C118A7" w:rsidP="00C118A7"/>
    <w:p w14:paraId="430529F3" w14:textId="66F6BCED" w:rsidR="00AF570A" w:rsidRDefault="00AF570A" w:rsidP="005E3850">
      <w:pPr>
        <w:pStyle w:val="Heading1"/>
        <w:tabs>
          <w:tab w:val="clear" w:pos="992"/>
        </w:tabs>
        <w:spacing w:before="120"/>
      </w:pPr>
      <w:r>
        <w:t xml:space="preserve">Innovation </w:t>
      </w:r>
      <w:r w:rsidR="002C47D0">
        <w:t>Benefits and Customer Leverage</w:t>
      </w:r>
      <w:r w:rsidR="002423C5">
        <w:t xml:space="preserve"> (Weighting 5</w:t>
      </w:r>
      <w:r w:rsidR="00090E83">
        <w:t>%)</w:t>
      </w:r>
      <w:r w:rsidR="00CF013A">
        <w:t xml:space="preserve"> </w:t>
      </w:r>
    </w:p>
    <w:p w14:paraId="382719AF" w14:textId="3125A633" w:rsidR="0025296F" w:rsidRDefault="002C47D0" w:rsidP="005E3850">
      <w:pPr>
        <w:pStyle w:val="Heading2"/>
      </w:pPr>
      <w:r w:rsidRPr="005E3850">
        <w:rPr>
          <w:rStyle w:val="Heading2Char1"/>
        </w:rPr>
        <w:t xml:space="preserve">Tenderers shall </w:t>
      </w:r>
      <w:r w:rsidR="00672BA3" w:rsidRPr="005E3850">
        <w:rPr>
          <w:rStyle w:val="Heading2Char1"/>
        </w:rPr>
        <w:t xml:space="preserve">also </w:t>
      </w:r>
      <w:r w:rsidR="0025296F" w:rsidRPr="005E3850">
        <w:rPr>
          <w:rStyle w:val="Heading2Char1"/>
        </w:rPr>
        <w:t xml:space="preserve">provide a summary of their </w:t>
      </w:r>
      <w:r w:rsidR="00672BA3" w:rsidRPr="005E3850">
        <w:rPr>
          <w:rStyle w:val="Heading2Char1"/>
        </w:rPr>
        <w:t xml:space="preserve">full </w:t>
      </w:r>
      <w:r w:rsidR="0025296F" w:rsidRPr="005E3850">
        <w:rPr>
          <w:rStyle w:val="Heading2Char1"/>
        </w:rPr>
        <w:t xml:space="preserve">future product solution </w:t>
      </w:r>
      <w:r w:rsidR="004E0D61" w:rsidRPr="005E3850">
        <w:rPr>
          <w:rStyle w:val="Heading2Char1"/>
        </w:rPr>
        <w:t>“</w:t>
      </w:r>
      <w:r w:rsidR="0025296F" w:rsidRPr="005E3850">
        <w:rPr>
          <w:rStyle w:val="Heading2Char1"/>
        </w:rPr>
        <w:t>road map</w:t>
      </w:r>
      <w:r w:rsidR="004E0D61" w:rsidRPr="005E3850">
        <w:rPr>
          <w:rStyle w:val="Heading2Char1"/>
        </w:rPr>
        <w:t>”</w:t>
      </w:r>
      <w:r w:rsidR="0025296F" w:rsidRPr="005E3850">
        <w:rPr>
          <w:rStyle w:val="Heading2Char1"/>
        </w:rPr>
        <w:t xml:space="preserve"> i</w:t>
      </w:r>
      <w:r w:rsidR="00B47BF0" w:rsidRPr="005E3850">
        <w:rPr>
          <w:rStyle w:val="Heading2Char1"/>
        </w:rPr>
        <w:t>ncluding</w:t>
      </w:r>
      <w:r w:rsidR="0025296F" w:rsidRPr="005E3850">
        <w:rPr>
          <w:rStyle w:val="Heading2Char1"/>
        </w:rPr>
        <w:t xml:space="preserve"> without limitation to</w:t>
      </w:r>
      <w:r w:rsidR="0025296F">
        <w:t>:</w:t>
      </w:r>
      <w:r w:rsidR="00B47BF0">
        <w:t xml:space="preserve"> </w:t>
      </w:r>
    </w:p>
    <w:p w14:paraId="4F111036" w14:textId="77777777" w:rsidR="0025296F" w:rsidRDefault="0025296F" w:rsidP="00B4214E">
      <w:pPr>
        <w:pStyle w:val="ListParagraph"/>
        <w:tabs>
          <w:tab w:val="clear" w:pos="1134"/>
          <w:tab w:val="left" w:pos="851"/>
        </w:tabs>
        <w:ind w:left="1276" w:hanging="283"/>
      </w:pPr>
      <w:r>
        <w:t>Functionality</w:t>
      </w:r>
      <w:r w:rsidR="004E0D61">
        <w:t>;</w:t>
      </w:r>
    </w:p>
    <w:p w14:paraId="5CA7C5F3" w14:textId="77777777" w:rsidR="0025296F" w:rsidRPr="0010117D" w:rsidRDefault="0025296F" w:rsidP="00B4214E">
      <w:pPr>
        <w:pStyle w:val="ListParagraph"/>
        <w:tabs>
          <w:tab w:val="clear" w:pos="1134"/>
          <w:tab w:val="left" w:pos="851"/>
        </w:tabs>
        <w:ind w:left="1276" w:hanging="283"/>
      </w:pPr>
      <w:r w:rsidRPr="0010117D">
        <w:t>Infrastructure</w:t>
      </w:r>
      <w:r w:rsidR="004E0D61" w:rsidRPr="0010117D">
        <w:t>;</w:t>
      </w:r>
    </w:p>
    <w:p w14:paraId="62E9369F" w14:textId="65D34C7E" w:rsidR="00C54908" w:rsidRPr="0010117D" w:rsidRDefault="00C54908" w:rsidP="00B4214E">
      <w:pPr>
        <w:pStyle w:val="ListParagraph"/>
        <w:tabs>
          <w:tab w:val="clear" w:pos="1134"/>
          <w:tab w:val="clear" w:pos="1276"/>
          <w:tab w:val="left" w:pos="851"/>
          <w:tab w:val="left" w:pos="993"/>
        </w:tabs>
        <w:ind w:left="1276" w:hanging="283"/>
      </w:pPr>
      <w:r w:rsidRPr="0010117D">
        <w:t xml:space="preserve">Timelines for delivery of roadmap and explanation of </w:t>
      </w:r>
      <w:r w:rsidR="00B4214E">
        <w:t xml:space="preserve">current </w:t>
      </w:r>
      <w:r w:rsidRPr="0010117D">
        <w:t>achi</w:t>
      </w:r>
      <w:r w:rsidR="00B4214E">
        <w:t>evements against the roadmap including</w:t>
      </w:r>
      <w:r w:rsidRPr="0010117D">
        <w:t xml:space="preserve"> percentage completion of delivery against the development plan;</w:t>
      </w:r>
    </w:p>
    <w:p w14:paraId="4B6BC1EB" w14:textId="77777777" w:rsidR="00C54908" w:rsidRDefault="0025296F" w:rsidP="00B4214E">
      <w:pPr>
        <w:pStyle w:val="ListParagraph"/>
        <w:tabs>
          <w:tab w:val="clear" w:pos="1134"/>
          <w:tab w:val="clear" w:pos="1276"/>
          <w:tab w:val="left" w:pos="851"/>
          <w:tab w:val="left" w:pos="993"/>
        </w:tabs>
        <w:ind w:left="1276" w:hanging="283"/>
      </w:pPr>
      <w:r>
        <w:t xml:space="preserve">How the Scottish FE/HE sector would be enabled to exercise effective influence </w:t>
      </w:r>
      <w:r w:rsidR="004E0D61">
        <w:t>over the future product roadmap</w:t>
      </w:r>
      <w:r w:rsidR="00C54908">
        <w:t>;</w:t>
      </w:r>
    </w:p>
    <w:p w14:paraId="672AA42D" w14:textId="77777777" w:rsidR="0025296F" w:rsidRDefault="0025296F" w:rsidP="00B4214E">
      <w:pPr>
        <w:pStyle w:val="ListParagraph"/>
        <w:tabs>
          <w:tab w:val="clear" w:pos="1134"/>
          <w:tab w:val="clear" w:pos="1276"/>
          <w:tab w:val="left" w:pos="851"/>
          <w:tab w:val="left" w:pos="993"/>
        </w:tabs>
        <w:ind w:left="1276" w:hanging="283"/>
      </w:pPr>
      <w:r>
        <w:t xml:space="preserve">The process for requesting </w:t>
      </w:r>
      <w:r w:rsidR="004E0D61">
        <w:t xml:space="preserve">future </w:t>
      </w:r>
      <w:r>
        <w:t xml:space="preserve">enhancements </w:t>
      </w:r>
      <w:r w:rsidR="004E0D61">
        <w:t>and relevant clear example(s) of where specific Customer enhancement requests have been implemented.</w:t>
      </w:r>
    </w:p>
    <w:p w14:paraId="3B0FBB95" w14:textId="3FB981D0" w:rsidR="00C50211" w:rsidRPr="00C50211" w:rsidRDefault="00C50211" w:rsidP="00B4214E">
      <w:pPr>
        <w:pStyle w:val="ListParagraph"/>
        <w:tabs>
          <w:tab w:val="clear" w:pos="1134"/>
          <w:tab w:val="clear" w:pos="1276"/>
          <w:tab w:val="left" w:pos="851"/>
          <w:tab w:val="left" w:pos="993"/>
        </w:tabs>
        <w:ind w:left="1276" w:hanging="283"/>
      </w:pPr>
      <w:r w:rsidRPr="005E3850">
        <w:t>Innovation within the “Managed Hosting” technology marketplace</w:t>
      </w:r>
      <w:r>
        <w:t xml:space="preserve">, </w:t>
      </w:r>
      <w:r w:rsidRPr="005E3850">
        <w:t>Tenderers shall provide clear examples of how they intend to pass on cost savings to Customers within the Scottish FE/HE sector?</w:t>
      </w:r>
    </w:p>
    <w:p w14:paraId="4F533717" w14:textId="77777777" w:rsidR="00090E83" w:rsidRPr="000B56F5" w:rsidRDefault="00090E83" w:rsidP="00090E83">
      <w:r w:rsidRPr="000B56F5">
        <w:t>This question will be evaluated and scored using the scoring methodology below.</w:t>
      </w:r>
    </w:p>
    <w:p w14:paraId="46755581" w14:textId="4AB5E65F" w:rsidR="00C50211" w:rsidRDefault="00C50211">
      <w:pPr>
        <w:ind w:left="720" w:hanging="720"/>
        <w:rPr>
          <w:b/>
          <w:u w:val="single"/>
        </w:rPr>
      </w:pPr>
      <w:r>
        <w:rPr>
          <w:b/>
          <w:u w:val="single"/>
        </w:rPr>
        <w:br w:type="page"/>
      </w:r>
    </w:p>
    <w:p w14:paraId="1E5E2223" w14:textId="77777777" w:rsidR="00090E83" w:rsidRPr="000B56F5" w:rsidRDefault="00090E83" w:rsidP="00090E83">
      <w:pPr>
        <w:rPr>
          <w:b/>
          <w:u w:val="single"/>
        </w:rPr>
      </w:pPr>
      <w:r w:rsidRPr="000B56F5">
        <w:rPr>
          <w:b/>
          <w:u w:val="single"/>
        </w:rPr>
        <w:t>Scoring Methodology</w:t>
      </w:r>
    </w:p>
    <w:p w14:paraId="1C505E40" w14:textId="77777777" w:rsidR="00090E83" w:rsidRPr="000B56F5" w:rsidRDefault="00090E83" w:rsidP="00090E83">
      <w:pPr>
        <w:rPr>
          <w:b/>
        </w:rPr>
      </w:pPr>
      <w:r w:rsidRPr="000B56F5">
        <w:rPr>
          <w:b/>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6320"/>
      </w:tblGrid>
      <w:tr w:rsidR="00090E83" w:rsidRPr="000B56F5" w14:paraId="6E3C56B0" w14:textId="77777777" w:rsidTr="00B75D83">
        <w:tc>
          <w:tcPr>
            <w:tcW w:w="2337" w:type="dxa"/>
            <w:shd w:val="clear" w:color="auto" w:fill="auto"/>
            <w:vAlign w:val="center"/>
          </w:tcPr>
          <w:p w14:paraId="523C864E" w14:textId="77777777" w:rsidR="00090E83" w:rsidRPr="00470481" w:rsidRDefault="00090E83" w:rsidP="00B75D83">
            <w:pPr>
              <w:rPr>
                <w:b/>
              </w:rPr>
            </w:pPr>
            <w:r w:rsidRPr="00470481">
              <w:rPr>
                <w:b/>
              </w:rPr>
              <w:t>3 – Good</w:t>
            </w:r>
          </w:p>
        </w:tc>
        <w:tc>
          <w:tcPr>
            <w:tcW w:w="6320" w:type="dxa"/>
            <w:shd w:val="clear" w:color="auto" w:fill="auto"/>
          </w:tcPr>
          <w:p w14:paraId="76F93BFE" w14:textId="0B8DBED4" w:rsidR="00090E83" w:rsidRDefault="00090E83" w:rsidP="00B75D83">
            <w:r w:rsidRPr="000B56F5">
              <w:t xml:space="preserve">The Tenderer has clearly demonstrated </w:t>
            </w:r>
            <w:r w:rsidR="00C54908">
              <w:t>that</w:t>
            </w:r>
            <w:r w:rsidRPr="000B56F5">
              <w:t xml:space="preserve"> they will strive to continuously improve the service delivery throughout the l</w:t>
            </w:r>
            <w:r>
              <w:t>ife of the Framework Agreement</w:t>
            </w:r>
            <w:r w:rsidR="00C54908">
              <w:t>, meet user expectations and have a process to allow stakeholders to allow input to future developments</w:t>
            </w:r>
            <w:r>
              <w:t>.</w:t>
            </w:r>
          </w:p>
          <w:p w14:paraId="527F816C" w14:textId="54962C58" w:rsidR="00090E83" w:rsidRPr="000B56F5" w:rsidRDefault="00090E83" w:rsidP="00B75D83">
            <w:r w:rsidRPr="000B56F5">
              <w:t xml:space="preserve">The response addresses all the key points listed above in sufficient detail providing confidence that the improvements </w:t>
            </w:r>
            <w:r w:rsidR="00260107">
              <w:t xml:space="preserve">road map </w:t>
            </w:r>
            <w:r w:rsidRPr="000B56F5">
              <w:t>iden</w:t>
            </w:r>
            <w:r w:rsidR="00260107">
              <w:t>tified ca</w:t>
            </w:r>
            <w:r w:rsidR="00C50211">
              <w:t>n be realistically ach</w:t>
            </w:r>
            <w:r w:rsidR="00260107">
              <w:t>i</w:t>
            </w:r>
            <w:r w:rsidR="00C50211">
              <w:t>e</w:t>
            </w:r>
            <w:r w:rsidR="00260107">
              <w:t xml:space="preserve">ved with significant </w:t>
            </w:r>
            <w:r w:rsidRPr="000B56F5">
              <w:t>enhance</w:t>
            </w:r>
            <w:r w:rsidR="00260107">
              <w:t>ments to</w:t>
            </w:r>
            <w:r w:rsidRPr="000B56F5">
              <w:t xml:space="preserve"> the service offered to Inst</w:t>
            </w:r>
            <w:r>
              <w:t>itution</w:t>
            </w:r>
            <w:r w:rsidR="00260107">
              <w:t>s</w:t>
            </w:r>
            <w:r>
              <w:t xml:space="preserve"> at no additional cost.</w:t>
            </w:r>
          </w:p>
          <w:p w14:paraId="0094F9B5" w14:textId="33EAC23F" w:rsidR="00090E83" w:rsidRPr="00260107" w:rsidRDefault="00090E83" w:rsidP="00B75D83">
            <w:pPr>
              <w:rPr>
                <w:i/>
              </w:rPr>
            </w:pPr>
          </w:p>
        </w:tc>
      </w:tr>
      <w:tr w:rsidR="00090E83" w:rsidRPr="000B56F5" w14:paraId="7C682FE6" w14:textId="77777777" w:rsidTr="00B75D83">
        <w:tc>
          <w:tcPr>
            <w:tcW w:w="2337" w:type="dxa"/>
            <w:shd w:val="clear" w:color="auto" w:fill="auto"/>
            <w:vAlign w:val="center"/>
          </w:tcPr>
          <w:p w14:paraId="1BD69826" w14:textId="77777777" w:rsidR="00090E83" w:rsidRPr="00470481" w:rsidRDefault="00090E83" w:rsidP="00B75D83">
            <w:pPr>
              <w:rPr>
                <w:b/>
              </w:rPr>
            </w:pPr>
            <w:r w:rsidRPr="00470481">
              <w:rPr>
                <w:b/>
              </w:rPr>
              <w:t>2 - Acceptable</w:t>
            </w:r>
          </w:p>
        </w:tc>
        <w:tc>
          <w:tcPr>
            <w:tcW w:w="6320" w:type="dxa"/>
            <w:shd w:val="clear" w:color="auto" w:fill="auto"/>
          </w:tcPr>
          <w:p w14:paraId="1297B2B7" w14:textId="77777777" w:rsidR="00090E83" w:rsidRDefault="00090E83" w:rsidP="00B75D83">
            <w:r w:rsidRPr="000B56F5">
              <w:t>The Tenderer has demonstrated how they will strive to continuously improve the service delivery throughout the life of the Framework Agreeme</w:t>
            </w:r>
            <w:r>
              <w:t>nt.</w:t>
            </w:r>
          </w:p>
          <w:p w14:paraId="60AFBFD7" w14:textId="77777777" w:rsidR="00090E83" w:rsidRDefault="00090E83" w:rsidP="00B75D83">
            <w:r w:rsidRPr="000B56F5">
              <w:t>The response addresses most of the ke</w:t>
            </w:r>
            <w:r>
              <w:t>y points listed above in detail</w:t>
            </w:r>
          </w:p>
          <w:p w14:paraId="515F7F22" w14:textId="77777777" w:rsidR="00090E83" w:rsidRDefault="00090E83" w:rsidP="00B75D83">
            <w:r>
              <w:t>OR</w:t>
            </w:r>
          </w:p>
          <w:p w14:paraId="579D27FF" w14:textId="3828A135" w:rsidR="00090E83" w:rsidRDefault="005F76B7" w:rsidP="00B75D83">
            <w:r>
              <w:t>T</w:t>
            </w:r>
            <w:r w:rsidR="00090E83" w:rsidRPr="000B56F5">
              <w:t xml:space="preserve">he Tenderer has provided all the key points listed above but lacks detail in answering the question fully. </w:t>
            </w:r>
          </w:p>
          <w:p w14:paraId="43144A03" w14:textId="2F55B60F" w:rsidR="00090E83" w:rsidRPr="000B56F5" w:rsidRDefault="00090E83" w:rsidP="00B75D83">
            <w:r w:rsidRPr="000B56F5">
              <w:t xml:space="preserve">The response provides </w:t>
            </w:r>
            <w:r w:rsidR="00607E0A">
              <w:t xml:space="preserve">some </w:t>
            </w:r>
            <w:r w:rsidRPr="000B56F5">
              <w:t>confidence that the improvements identified can be made with some level of outcome/i</w:t>
            </w:r>
            <w:r w:rsidR="00260107">
              <w:t xml:space="preserve">mpact and could potentially </w:t>
            </w:r>
            <w:r w:rsidRPr="000B56F5">
              <w:t>enhance the service offered to Inst</w:t>
            </w:r>
            <w:r>
              <w:t>itution at no additional cost.</w:t>
            </w:r>
          </w:p>
        </w:tc>
      </w:tr>
      <w:tr w:rsidR="00090E83" w:rsidRPr="000B56F5" w14:paraId="622983D6" w14:textId="77777777" w:rsidTr="00B75D83">
        <w:tc>
          <w:tcPr>
            <w:tcW w:w="2337" w:type="dxa"/>
            <w:shd w:val="clear" w:color="auto" w:fill="auto"/>
            <w:vAlign w:val="center"/>
          </w:tcPr>
          <w:p w14:paraId="44029074" w14:textId="77777777" w:rsidR="00090E83" w:rsidRPr="00470481" w:rsidRDefault="00090E83" w:rsidP="00B75D83">
            <w:pPr>
              <w:rPr>
                <w:b/>
              </w:rPr>
            </w:pPr>
            <w:r w:rsidRPr="00470481">
              <w:rPr>
                <w:b/>
              </w:rPr>
              <w:t>1 - Minor Concerns</w:t>
            </w:r>
          </w:p>
        </w:tc>
        <w:tc>
          <w:tcPr>
            <w:tcW w:w="6320" w:type="dxa"/>
            <w:shd w:val="clear" w:color="auto" w:fill="auto"/>
          </w:tcPr>
          <w:p w14:paraId="316C7C65" w14:textId="77777777" w:rsidR="00090E83" w:rsidRDefault="00090E83" w:rsidP="00B75D83">
            <w:r w:rsidRPr="000B56F5">
              <w:t>The Tenderer has demonstrated that they identify the need for some level of continuous improvement throughout the life of the Framework Agreement.</w:t>
            </w:r>
          </w:p>
          <w:p w14:paraId="29ED08C2" w14:textId="77777777" w:rsidR="00090E83" w:rsidRDefault="00090E83" w:rsidP="00B75D83">
            <w:r w:rsidRPr="000B56F5">
              <w:t>The response addresses some of the ke</w:t>
            </w:r>
            <w:r>
              <w:t>y points listed above in detail</w:t>
            </w:r>
          </w:p>
          <w:p w14:paraId="0575BAB2" w14:textId="77777777" w:rsidR="00090E83" w:rsidRDefault="00090E83" w:rsidP="00B75D83">
            <w:r>
              <w:t>OR</w:t>
            </w:r>
          </w:p>
          <w:p w14:paraId="1087E555" w14:textId="7B61390B" w:rsidR="00090E83" w:rsidRPr="000B56F5" w:rsidRDefault="00FC68B4" w:rsidP="00B75D83">
            <w:r w:rsidRPr="000B56F5">
              <w:t>The</w:t>
            </w:r>
            <w:r w:rsidR="00090E83" w:rsidRPr="000B56F5">
              <w:t xml:space="preserve"> Tenderer has provided most of the key points listed above but lacks detail. The response does not provide confidence that the improvements identified can be made OR they can be met but with little outcome/impact.</w:t>
            </w:r>
          </w:p>
          <w:p w14:paraId="487596DD" w14:textId="77777777" w:rsidR="00090E83" w:rsidRPr="000B56F5" w:rsidRDefault="00090E83" w:rsidP="00B75D83"/>
        </w:tc>
      </w:tr>
      <w:tr w:rsidR="00090E83" w:rsidRPr="000B56F5" w14:paraId="4C4EEDA3" w14:textId="77777777" w:rsidTr="00B75D83">
        <w:tc>
          <w:tcPr>
            <w:tcW w:w="2337" w:type="dxa"/>
            <w:shd w:val="clear" w:color="auto" w:fill="auto"/>
            <w:vAlign w:val="center"/>
          </w:tcPr>
          <w:p w14:paraId="6DB383A1" w14:textId="77777777" w:rsidR="00090E83" w:rsidRPr="00470481" w:rsidRDefault="00090E83" w:rsidP="00B75D83">
            <w:pPr>
              <w:rPr>
                <w:b/>
              </w:rPr>
            </w:pPr>
            <w:r w:rsidRPr="00470481">
              <w:rPr>
                <w:b/>
              </w:rPr>
              <w:t>0 - Major Concerns</w:t>
            </w:r>
            <w:r w:rsidRPr="00470481">
              <w:rPr>
                <w:b/>
              </w:rPr>
              <w:tab/>
            </w:r>
          </w:p>
        </w:tc>
        <w:tc>
          <w:tcPr>
            <w:tcW w:w="6320" w:type="dxa"/>
            <w:shd w:val="clear" w:color="auto" w:fill="auto"/>
          </w:tcPr>
          <w:p w14:paraId="1ACD9DFE" w14:textId="77777777" w:rsidR="00090E83" w:rsidRPr="00470481" w:rsidRDefault="00090E83" w:rsidP="00B75D83">
            <w:r w:rsidRPr="00470481">
              <w:t>The Tenderer has failed to address the question, submitted a nil response</w:t>
            </w:r>
          </w:p>
          <w:p w14:paraId="03AE935A" w14:textId="4E99CE64" w:rsidR="00090E83" w:rsidRPr="00470481" w:rsidRDefault="00090E83" w:rsidP="00B75D83">
            <w:r>
              <w:t>OR</w:t>
            </w:r>
            <w:r w:rsidR="00E82FEF">
              <w:t xml:space="preserve"> </w:t>
            </w:r>
            <w:r w:rsidRPr="00470481">
              <w:t xml:space="preserve">any </w:t>
            </w:r>
            <w:r w:rsidR="00E82FEF">
              <w:t xml:space="preserve">single </w:t>
            </w:r>
            <w:r w:rsidRPr="00470481">
              <w:t>element of the response gives cause for major concern.</w:t>
            </w:r>
          </w:p>
          <w:p w14:paraId="5B57A482" w14:textId="77777777" w:rsidR="00090E83" w:rsidRPr="000B56F5" w:rsidRDefault="00090E83" w:rsidP="00B75D83"/>
        </w:tc>
      </w:tr>
    </w:tbl>
    <w:p w14:paraId="4945AECE" w14:textId="0D532BBB" w:rsidR="000B56F5" w:rsidRPr="00D836B6" w:rsidRDefault="00F4505F" w:rsidP="000B56F5">
      <w:pPr>
        <w:pStyle w:val="Heading1"/>
      </w:pPr>
      <w:r>
        <w:t>Key Personnel (Weighting 2</w:t>
      </w:r>
      <w:r w:rsidR="000B56F5" w:rsidRPr="000B56F5">
        <w:t>%)</w:t>
      </w:r>
    </w:p>
    <w:p w14:paraId="114FE816" w14:textId="4D91CB1A" w:rsidR="000B56F5" w:rsidRPr="000B56F5" w:rsidRDefault="000B56F5" w:rsidP="000B56F5">
      <w:pPr>
        <w:pStyle w:val="Heading2"/>
      </w:pPr>
      <w:r w:rsidRPr="000B56F5">
        <w:t>Framework &amp;</w:t>
      </w:r>
      <w:r w:rsidR="00D2570D">
        <w:t xml:space="preserve"> Account Management </w:t>
      </w:r>
    </w:p>
    <w:p w14:paraId="41873FE7" w14:textId="77777777" w:rsidR="000B56F5" w:rsidRPr="000B56F5" w:rsidRDefault="000B56F5" w:rsidP="000B56F5">
      <w:r w:rsidRPr="000B56F5">
        <w:t>The Contractor will appoint a dedicated Framework Account Manager who will be responsible for ensuring that the agreed service levels are maintained and will work with an Account Management Team to ensure that a good level of service is consistently provided throughout the duration of the framework.</w:t>
      </w:r>
    </w:p>
    <w:p w14:paraId="7CAB4553" w14:textId="289959D3" w:rsidR="000B56F5" w:rsidRPr="000B56F5" w:rsidRDefault="000B56F5" w:rsidP="000B56F5">
      <w:r w:rsidRPr="000B56F5">
        <w:t>Please provide details of the Key Personnel who will manage and be responsible for delivering the</w:t>
      </w:r>
      <w:r w:rsidR="00F00BE0">
        <w:t xml:space="preserve"> Specification of Requirements including the proposed Project Manager and </w:t>
      </w:r>
      <w:r w:rsidR="007606B7">
        <w:t xml:space="preserve">the proposed </w:t>
      </w:r>
      <w:r w:rsidR="00F00BE0">
        <w:t xml:space="preserve">Project Implementation team for the Vanguard Institution.  </w:t>
      </w:r>
    </w:p>
    <w:p w14:paraId="0873BC78" w14:textId="7524FB9F" w:rsidR="000B56F5" w:rsidRPr="000B56F5" w:rsidRDefault="000B56F5" w:rsidP="000B56F5">
      <w:r w:rsidRPr="000B56F5">
        <w:t>Your response should include</w:t>
      </w:r>
      <w:r w:rsidR="00F00BE0">
        <w:t>:</w:t>
      </w:r>
    </w:p>
    <w:p w14:paraId="5B11F766" w14:textId="66C7A7B8" w:rsidR="000B56F5" w:rsidRPr="000B56F5" w:rsidRDefault="000B56F5" w:rsidP="000B56F5">
      <w:r w:rsidRPr="000B56F5">
        <w:t>Name and contact details of the proposed Framework Agreement Account Manager</w:t>
      </w:r>
      <w:r w:rsidR="00EB476A">
        <w:t xml:space="preserve"> and Project Implementation team</w:t>
      </w:r>
      <w:r w:rsidRPr="000B56F5">
        <w:t>;</w:t>
      </w:r>
    </w:p>
    <w:p w14:paraId="5B4CD98C" w14:textId="147A2EB0" w:rsidR="000B56F5" w:rsidRPr="000B56F5" w:rsidRDefault="000B56F5" w:rsidP="009C78AE">
      <w:pPr>
        <w:pStyle w:val="ListParagraph"/>
        <w:numPr>
          <w:ilvl w:val="0"/>
          <w:numId w:val="9"/>
        </w:numPr>
      </w:pPr>
      <w:r w:rsidRPr="000B56F5">
        <w:t>A short CV for each Key Personnel including the Framework Agreement Account Manager and the supporting Account</w:t>
      </w:r>
      <w:r w:rsidR="00EB476A">
        <w:t>/Project</w:t>
      </w:r>
      <w:r w:rsidRPr="000B56F5">
        <w:t xml:space="preserve"> Management Team, detailing relevant qualifications, skills and technical expertise;</w:t>
      </w:r>
    </w:p>
    <w:p w14:paraId="2E42B35E" w14:textId="2452788D" w:rsidR="000B56F5" w:rsidRPr="000B56F5" w:rsidRDefault="000B56F5" w:rsidP="009C78AE">
      <w:pPr>
        <w:pStyle w:val="ListParagraph"/>
        <w:numPr>
          <w:ilvl w:val="0"/>
          <w:numId w:val="9"/>
        </w:numPr>
      </w:pPr>
      <w:r w:rsidRPr="000B56F5">
        <w:t>A summary of the proposed team structur</w:t>
      </w:r>
      <w:r>
        <w:t xml:space="preserve">e clearly detailing individuals’ </w:t>
      </w:r>
      <w:r w:rsidRPr="000B56F5">
        <w:t>roles a</w:t>
      </w:r>
      <w:r>
        <w:t xml:space="preserve">nd responsibilities, including </w:t>
      </w:r>
      <w:r w:rsidRPr="000B56F5">
        <w:t>the use of subcontractors if applicable;</w:t>
      </w:r>
    </w:p>
    <w:p w14:paraId="4FE7D904" w14:textId="77777777" w:rsidR="000B56F5" w:rsidRPr="000B56F5" w:rsidRDefault="000B56F5" w:rsidP="009C78AE">
      <w:pPr>
        <w:pStyle w:val="ListParagraph"/>
        <w:numPr>
          <w:ilvl w:val="0"/>
          <w:numId w:val="9"/>
        </w:numPr>
      </w:pPr>
      <w:r w:rsidRPr="000B56F5">
        <w:t>An up to date organisation chart clearly showing lines of responsibility, escalation and back up in the event of absence or staff changes,</w:t>
      </w:r>
    </w:p>
    <w:p w14:paraId="0C7D4D51" w14:textId="77777777" w:rsidR="000B56F5" w:rsidRPr="000B56F5" w:rsidRDefault="000B56F5" w:rsidP="009C78AE">
      <w:pPr>
        <w:pStyle w:val="ListParagraph"/>
        <w:numPr>
          <w:ilvl w:val="0"/>
          <w:numId w:val="9"/>
        </w:numPr>
      </w:pPr>
      <w:r w:rsidRPr="000B56F5">
        <w:t>A description of the methodology detailing how the proposed team will be organised and deployed to ensure high service delivery;</w:t>
      </w:r>
    </w:p>
    <w:p w14:paraId="3E0BCE41" w14:textId="77777777" w:rsidR="000B56F5" w:rsidRPr="000B56F5" w:rsidRDefault="000B56F5" w:rsidP="009C78AE">
      <w:pPr>
        <w:pStyle w:val="ListParagraph"/>
        <w:numPr>
          <w:ilvl w:val="0"/>
          <w:numId w:val="9"/>
        </w:numPr>
      </w:pPr>
      <w:r w:rsidRPr="000B56F5">
        <w:t>A brief summary of how all key personnel will be appropriately trained and developed;</w:t>
      </w:r>
    </w:p>
    <w:p w14:paraId="65F4656F" w14:textId="77777777" w:rsidR="000B56F5" w:rsidRPr="000B56F5" w:rsidRDefault="000B56F5" w:rsidP="009C78AE">
      <w:pPr>
        <w:pStyle w:val="ListParagraph"/>
        <w:numPr>
          <w:ilvl w:val="0"/>
          <w:numId w:val="9"/>
        </w:numPr>
      </w:pPr>
      <w:r w:rsidRPr="000B56F5">
        <w:t>A methodology for continuity of key personnel to ensure that an equivalent level of service is maintained;</w:t>
      </w:r>
    </w:p>
    <w:p w14:paraId="6BE43AA6" w14:textId="77777777" w:rsidR="000B56F5" w:rsidRPr="000B56F5" w:rsidRDefault="000B56F5" w:rsidP="009C78AE">
      <w:pPr>
        <w:pStyle w:val="ListParagraph"/>
        <w:numPr>
          <w:ilvl w:val="0"/>
          <w:numId w:val="9"/>
        </w:numPr>
      </w:pPr>
      <w:r w:rsidRPr="000B56F5">
        <w:t>How effective liaison will be developed and maintained with Institutions throughout the duration of the Framework Agreement.</w:t>
      </w:r>
    </w:p>
    <w:p w14:paraId="2DAADEA7" w14:textId="77777777" w:rsidR="000B56F5" w:rsidRPr="000B56F5" w:rsidRDefault="000B56F5" w:rsidP="000B56F5"/>
    <w:p w14:paraId="0F2C7953" w14:textId="0A3D0B46" w:rsidR="000B56F5" w:rsidRPr="000B56F5" w:rsidRDefault="000B56F5" w:rsidP="000B56F5">
      <w:r w:rsidRPr="000B56F5">
        <w:t>Your response should also include, a detailed description of how you would deliver services across the Institutions to ensure capacity exists at all times to support their needs.</w:t>
      </w:r>
    </w:p>
    <w:p w14:paraId="4E52719A" w14:textId="1FF5FED7" w:rsidR="000B56F5" w:rsidRPr="000B56F5" w:rsidRDefault="000B56F5" w:rsidP="000B56F5">
      <w:r w:rsidRPr="000B56F5">
        <w:t>This question will be evaluated and scored using the scoring methodology below.</w:t>
      </w:r>
    </w:p>
    <w:p w14:paraId="7CD954C7" w14:textId="0636229D" w:rsidR="00607E0A" w:rsidRDefault="00607E0A">
      <w:pPr>
        <w:ind w:left="720" w:hanging="720"/>
        <w:rPr>
          <w:b/>
          <w:u w:val="single"/>
        </w:rPr>
      </w:pPr>
      <w:r>
        <w:rPr>
          <w:b/>
          <w:u w:val="single"/>
        </w:rPr>
        <w:br w:type="page"/>
      </w:r>
    </w:p>
    <w:p w14:paraId="65DA873F" w14:textId="77777777" w:rsidR="000B56F5" w:rsidRPr="000B56F5" w:rsidRDefault="000B56F5" w:rsidP="000B56F5">
      <w:pPr>
        <w:rPr>
          <w:b/>
          <w:u w:val="single"/>
        </w:rPr>
      </w:pPr>
    </w:p>
    <w:p w14:paraId="38965153" w14:textId="0B836E28" w:rsidR="000B56F5" w:rsidRPr="000B56F5" w:rsidRDefault="000B56F5" w:rsidP="000B56F5">
      <w:pPr>
        <w:rPr>
          <w:b/>
          <w:u w:val="single"/>
        </w:rPr>
      </w:pPr>
      <w:r w:rsidRPr="000B56F5">
        <w:rPr>
          <w:b/>
          <w:u w:val="single"/>
        </w:rPr>
        <w:t>Scoring Methodology</w:t>
      </w:r>
      <w:r w:rsidR="00607E0A">
        <w:rPr>
          <w:b/>
          <w:u w:val="single"/>
        </w:rPr>
        <w:t xml:space="preserve"> </w:t>
      </w:r>
    </w:p>
    <w:p w14:paraId="79BAC0E1" w14:textId="77777777" w:rsidR="000B56F5" w:rsidRPr="000B56F5" w:rsidRDefault="000B56F5" w:rsidP="000B56F5">
      <w:pPr>
        <w:rPr>
          <w:b/>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6499"/>
      </w:tblGrid>
      <w:tr w:rsidR="000B56F5" w:rsidRPr="000B56F5" w14:paraId="04825912" w14:textId="77777777" w:rsidTr="00BF0E72">
        <w:tc>
          <w:tcPr>
            <w:tcW w:w="2384" w:type="dxa"/>
            <w:shd w:val="clear" w:color="auto" w:fill="auto"/>
            <w:vAlign w:val="center"/>
          </w:tcPr>
          <w:p w14:paraId="0C866EE1" w14:textId="77777777" w:rsidR="000B56F5" w:rsidRPr="000B56F5" w:rsidRDefault="000B56F5" w:rsidP="000B56F5">
            <w:pPr>
              <w:rPr>
                <w:b/>
              </w:rPr>
            </w:pPr>
            <w:r w:rsidRPr="000B56F5">
              <w:rPr>
                <w:b/>
              </w:rPr>
              <w:t>3 – Good</w:t>
            </w:r>
          </w:p>
        </w:tc>
        <w:tc>
          <w:tcPr>
            <w:tcW w:w="6499" w:type="dxa"/>
            <w:shd w:val="clear" w:color="auto" w:fill="auto"/>
          </w:tcPr>
          <w:p w14:paraId="7CEB56BD" w14:textId="2E5DDE8B" w:rsidR="00470481" w:rsidRDefault="000B56F5" w:rsidP="000B56F5">
            <w:r w:rsidRPr="000B56F5">
              <w:t>The Tenderer has provided highly suitable Account Manager and Account</w:t>
            </w:r>
            <w:r w:rsidR="00EB476A">
              <w:t>/Project</w:t>
            </w:r>
            <w:r w:rsidRPr="000B56F5">
              <w:t xml:space="preserve"> Management Team to manage and be responsible for delivering the specification of </w:t>
            </w:r>
            <w:r>
              <w:t>requirements.</w:t>
            </w:r>
            <w:r w:rsidRPr="000B56F5">
              <w:t xml:space="preserve"> </w:t>
            </w:r>
          </w:p>
          <w:p w14:paraId="1C585A06" w14:textId="52A0C67C" w:rsidR="000B56F5" w:rsidRPr="000B56F5" w:rsidRDefault="000B56F5" w:rsidP="000B56F5">
            <w:r w:rsidRPr="000B56F5">
              <w:t xml:space="preserve">The response addresses all the key points listed above in sufficient detail providing confidence that all personnel proposed are highly suitable with a strong level of expertise to be responsive to the needs of the Institutions and fulfil their requirements. </w:t>
            </w:r>
          </w:p>
        </w:tc>
      </w:tr>
      <w:tr w:rsidR="000B56F5" w:rsidRPr="000B56F5" w14:paraId="622EC6E4" w14:textId="77777777" w:rsidTr="00BF0E72">
        <w:tc>
          <w:tcPr>
            <w:tcW w:w="2384" w:type="dxa"/>
            <w:shd w:val="clear" w:color="auto" w:fill="auto"/>
            <w:vAlign w:val="center"/>
          </w:tcPr>
          <w:p w14:paraId="179FC68E" w14:textId="77777777" w:rsidR="000B56F5" w:rsidRPr="000B56F5" w:rsidRDefault="000B56F5" w:rsidP="000B56F5">
            <w:pPr>
              <w:rPr>
                <w:b/>
              </w:rPr>
            </w:pPr>
            <w:r w:rsidRPr="000B56F5">
              <w:rPr>
                <w:b/>
              </w:rPr>
              <w:t>2 – Acceptable</w:t>
            </w:r>
          </w:p>
        </w:tc>
        <w:tc>
          <w:tcPr>
            <w:tcW w:w="6499" w:type="dxa"/>
            <w:shd w:val="clear" w:color="auto" w:fill="auto"/>
          </w:tcPr>
          <w:p w14:paraId="67910635" w14:textId="622F54B5" w:rsidR="000B56F5" w:rsidRPr="000B56F5" w:rsidRDefault="000B56F5" w:rsidP="000B56F5">
            <w:r w:rsidRPr="000B56F5">
              <w:t>The Tenderer has provided a suitable Account Manager and Account</w:t>
            </w:r>
            <w:r w:rsidR="00EB476A">
              <w:t>/Project</w:t>
            </w:r>
            <w:r w:rsidRPr="000B56F5">
              <w:t xml:space="preserve"> Management Team to manage and be responsible for delivering the specification of requirements.</w:t>
            </w:r>
          </w:p>
          <w:p w14:paraId="41A80A2D" w14:textId="77777777" w:rsidR="000B56F5" w:rsidRPr="000B56F5" w:rsidRDefault="000B56F5" w:rsidP="000B56F5">
            <w:r w:rsidRPr="000B56F5">
              <w:t xml:space="preserve">The response addresses most of the key points listed above in detail </w:t>
            </w:r>
          </w:p>
          <w:p w14:paraId="669B41E7" w14:textId="77777777" w:rsidR="000B56F5" w:rsidRPr="000B56F5" w:rsidRDefault="000B56F5" w:rsidP="000B56F5">
            <w:r w:rsidRPr="000B56F5">
              <w:t>OR</w:t>
            </w:r>
          </w:p>
          <w:p w14:paraId="6D3C27C9" w14:textId="07596FD9" w:rsidR="000B56F5" w:rsidRPr="000B56F5" w:rsidRDefault="00FC68B4" w:rsidP="000B56F5">
            <w:r>
              <w:t>The</w:t>
            </w:r>
            <w:r w:rsidR="000B56F5" w:rsidRPr="000B56F5">
              <w:t xml:space="preserve"> Tenderer has provided all the key points listed above but lacks detail in answering the question fully. </w:t>
            </w:r>
          </w:p>
          <w:p w14:paraId="37CF474D" w14:textId="77777777" w:rsidR="000B56F5" w:rsidRPr="000B56F5" w:rsidRDefault="000B56F5" w:rsidP="000B56F5">
            <w:r w:rsidRPr="000B56F5">
              <w:t>The response provides confidence that all key personnel proposed are suitable with sufficient expertise to provide the requirements.</w:t>
            </w:r>
          </w:p>
          <w:p w14:paraId="25EF236D" w14:textId="77777777" w:rsidR="000B56F5" w:rsidRPr="000B56F5" w:rsidRDefault="000B56F5" w:rsidP="000B56F5"/>
        </w:tc>
      </w:tr>
      <w:tr w:rsidR="000B56F5" w:rsidRPr="000B56F5" w14:paraId="6CB28827" w14:textId="77777777" w:rsidTr="00BF0E72">
        <w:tc>
          <w:tcPr>
            <w:tcW w:w="2384" w:type="dxa"/>
            <w:shd w:val="clear" w:color="auto" w:fill="auto"/>
            <w:vAlign w:val="center"/>
          </w:tcPr>
          <w:p w14:paraId="3790FECE" w14:textId="77777777" w:rsidR="000B56F5" w:rsidRPr="000B56F5" w:rsidRDefault="000B56F5" w:rsidP="000B56F5">
            <w:pPr>
              <w:rPr>
                <w:b/>
              </w:rPr>
            </w:pPr>
            <w:r w:rsidRPr="000B56F5">
              <w:rPr>
                <w:b/>
              </w:rPr>
              <w:t>1 - Minor Concerns</w:t>
            </w:r>
          </w:p>
        </w:tc>
        <w:tc>
          <w:tcPr>
            <w:tcW w:w="6499" w:type="dxa"/>
            <w:shd w:val="clear" w:color="auto" w:fill="auto"/>
          </w:tcPr>
          <w:p w14:paraId="508C06D7" w14:textId="77777777" w:rsidR="000B56F5" w:rsidRPr="000B56F5" w:rsidRDefault="000B56F5" w:rsidP="000B56F5">
            <w:r w:rsidRPr="000B56F5">
              <w:t xml:space="preserve">The Tenderer has provided an Account Manager and Account Management Team to manage and be responsible for delivering the specification of requirements. </w:t>
            </w:r>
          </w:p>
          <w:p w14:paraId="7611B592" w14:textId="77777777" w:rsidR="00470481" w:rsidRDefault="000B56F5" w:rsidP="000B56F5">
            <w:r w:rsidRPr="000B56F5">
              <w:t xml:space="preserve">The response addresses some of the key points listed above in </w:t>
            </w:r>
            <w:r w:rsidR="00470481">
              <w:t>detail</w:t>
            </w:r>
          </w:p>
          <w:p w14:paraId="72A9FE14" w14:textId="77777777" w:rsidR="00470481" w:rsidRDefault="00470481" w:rsidP="000B56F5">
            <w:r>
              <w:t>OR</w:t>
            </w:r>
          </w:p>
          <w:p w14:paraId="26EF566D" w14:textId="4DB66ABC" w:rsidR="000B56F5" w:rsidRPr="000B56F5" w:rsidRDefault="00FC68B4" w:rsidP="000B56F5">
            <w:r w:rsidRPr="000B56F5">
              <w:t>The</w:t>
            </w:r>
            <w:r w:rsidR="000B56F5" w:rsidRPr="000B56F5">
              <w:t xml:space="preserve"> Tenderer has provided most of the key points listed above but lacks detail. </w:t>
            </w:r>
          </w:p>
          <w:p w14:paraId="46D351CA" w14:textId="77777777" w:rsidR="000B56F5" w:rsidRPr="000B56F5" w:rsidRDefault="000B56F5" w:rsidP="000B56F5">
            <w:r w:rsidRPr="000B56F5">
              <w:t>The response provided does not provide confidence that all key personnel proposed are suitable with sufficient expertise to provide the requirements.</w:t>
            </w:r>
          </w:p>
          <w:p w14:paraId="33F58315" w14:textId="77777777" w:rsidR="000B56F5" w:rsidRPr="000B56F5" w:rsidRDefault="000B56F5" w:rsidP="000B56F5"/>
        </w:tc>
      </w:tr>
      <w:tr w:rsidR="000B56F5" w:rsidRPr="000B56F5" w14:paraId="2A32F516" w14:textId="77777777" w:rsidTr="00BF0E72">
        <w:tc>
          <w:tcPr>
            <w:tcW w:w="2384" w:type="dxa"/>
            <w:shd w:val="clear" w:color="auto" w:fill="auto"/>
            <w:vAlign w:val="center"/>
          </w:tcPr>
          <w:p w14:paraId="181E43F8" w14:textId="77777777" w:rsidR="000B56F5" w:rsidRPr="000B56F5" w:rsidRDefault="000B56F5" w:rsidP="000B56F5">
            <w:pPr>
              <w:rPr>
                <w:b/>
              </w:rPr>
            </w:pPr>
            <w:r w:rsidRPr="000B56F5">
              <w:rPr>
                <w:b/>
              </w:rPr>
              <w:t>0 - Major Concerns</w:t>
            </w:r>
          </w:p>
        </w:tc>
        <w:tc>
          <w:tcPr>
            <w:tcW w:w="6499" w:type="dxa"/>
            <w:shd w:val="clear" w:color="auto" w:fill="auto"/>
          </w:tcPr>
          <w:p w14:paraId="5C22480D" w14:textId="77777777" w:rsidR="000B56F5" w:rsidRPr="000B56F5" w:rsidRDefault="000B56F5" w:rsidP="000B56F5">
            <w:r w:rsidRPr="000B56F5">
              <w:t>The Tenderer has failed to address the question, submitted a nil response or any element of the response gives cause for major concern.</w:t>
            </w:r>
          </w:p>
        </w:tc>
      </w:tr>
    </w:tbl>
    <w:p w14:paraId="22976D56" w14:textId="77777777" w:rsidR="003E78D7" w:rsidRDefault="003E78D7" w:rsidP="003E78D7">
      <w:pPr>
        <w:pStyle w:val="Heading1"/>
        <w:numPr>
          <w:ilvl w:val="0"/>
          <w:numId w:val="0"/>
        </w:numPr>
      </w:pPr>
    </w:p>
    <w:p w14:paraId="48F9DE63" w14:textId="5BAE0645" w:rsidR="00903909" w:rsidRPr="00021404" w:rsidRDefault="0095387B" w:rsidP="00903909">
      <w:pPr>
        <w:pStyle w:val="Heading1"/>
      </w:pPr>
      <w:r>
        <w:t>Service Performance M</w:t>
      </w:r>
      <w:r w:rsidR="00903909" w:rsidRPr="00021404">
        <w:t>anagement and Escalations</w:t>
      </w:r>
      <w:r w:rsidR="00607E0A">
        <w:t xml:space="preserve"> (Weighting</w:t>
      </w:r>
      <w:r w:rsidR="00F4505F">
        <w:t xml:space="preserve"> 5%)</w:t>
      </w:r>
    </w:p>
    <w:p w14:paraId="113F8F3E" w14:textId="281F8DA6" w:rsidR="0095387B" w:rsidRDefault="0095387B" w:rsidP="0095387B">
      <w:pPr>
        <w:ind w:left="360"/>
      </w:pPr>
      <w:r>
        <w:t xml:space="preserve">Tenderers shall describe how they will deliver the framework Services to the required </w:t>
      </w:r>
      <w:r w:rsidR="002E4CDD">
        <w:t>performance standards</w:t>
      </w:r>
      <w:r w:rsidR="008A04E2">
        <w:t>,</w:t>
      </w:r>
      <w:r w:rsidR="002E4CDD">
        <w:t xml:space="preserve"> </w:t>
      </w:r>
      <w:r w:rsidR="00466826">
        <w:t xml:space="preserve">better </w:t>
      </w:r>
      <w:r w:rsidR="008A04E2">
        <w:t xml:space="preserve">or equivalent, </w:t>
      </w:r>
      <w:r w:rsidR="002E4CDD">
        <w:t>including below:</w:t>
      </w:r>
    </w:p>
    <w:p w14:paraId="58E471A4" w14:textId="1CDC0911" w:rsidR="00903909" w:rsidRPr="00D811BD" w:rsidRDefault="00903909" w:rsidP="009C78AE">
      <w:pPr>
        <w:pStyle w:val="ListParagraph"/>
        <w:numPr>
          <w:ilvl w:val="0"/>
          <w:numId w:val="14"/>
        </w:numPr>
      </w:pPr>
      <w:r w:rsidRPr="00D811BD">
        <w:t>P</w:t>
      </w:r>
      <w:r w:rsidR="0095387B" w:rsidRPr="00D811BD">
        <w:t xml:space="preserve">erformance against </w:t>
      </w:r>
      <w:r w:rsidR="00D811BD" w:rsidRPr="00D811BD">
        <w:t xml:space="preserve">standard </w:t>
      </w:r>
      <w:r w:rsidR="00D811BD">
        <w:t xml:space="preserve">KPIs provided within </w:t>
      </w:r>
      <w:r w:rsidR="00D811BD" w:rsidRPr="00D73013">
        <w:rPr>
          <w:highlight w:val="yellow"/>
        </w:rPr>
        <w:t>Appendix I</w:t>
      </w:r>
      <w:r w:rsidR="0095387B" w:rsidRPr="00D73013">
        <w:rPr>
          <w:highlight w:val="yellow"/>
        </w:rPr>
        <w:t>.</w:t>
      </w:r>
      <w:r w:rsidR="0095387B" w:rsidRPr="00D811BD">
        <w:t xml:space="preserve">  </w:t>
      </w:r>
    </w:p>
    <w:p w14:paraId="465CCF93" w14:textId="71251F5E" w:rsidR="00903909" w:rsidRDefault="0095387B" w:rsidP="00240B84">
      <w:pPr>
        <w:pStyle w:val="ListParagraph"/>
        <w:numPr>
          <w:ilvl w:val="0"/>
          <w:numId w:val="14"/>
        </w:numPr>
      </w:pPr>
      <w:r>
        <w:t>Provision of</w:t>
      </w:r>
      <w:r w:rsidR="00240B84" w:rsidRPr="000B56F5">
        <w:t xml:space="preserve"> a detailed Business Continuity Plan for the provision of the framework clearly identifying the main challenges that could affect the continuity of service.</w:t>
      </w:r>
      <w:r w:rsidR="00240B84">
        <w:t xml:space="preserve"> </w:t>
      </w:r>
      <w:r w:rsidR="00240B84" w:rsidRPr="000B56F5">
        <w:t>Your response should detail any assumptions and dependencies, expected risks and issues and how these will be mitigated and by whom</w:t>
      </w:r>
      <w:r>
        <w:t>.</w:t>
      </w:r>
    </w:p>
    <w:p w14:paraId="0FDA983E" w14:textId="74325BB0" w:rsidR="009C78AE" w:rsidRDefault="00240B84" w:rsidP="009C78AE">
      <w:pPr>
        <w:pStyle w:val="ListParagraph"/>
        <w:numPr>
          <w:ilvl w:val="0"/>
          <w:numId w:val="14"/>
        </w:numPr>
      </w:pPr>
      <w:r w:rsidRPr="000B56F5">
        <w:t>Your complaints and dispute resolution procedure, this should include detail of timescales and the escalation process.</w:t>
      </w:r>
    </w:p>
    <w:p w14:paraId="22CD98AD" w14:textId="77777777" w:rsidR="006B62BF" w:rsidRDefault="006B62BF" w:rsidP="006B62BF"/>
    <w:p w14:paraId="2BBE9865" w14:textId="1C87156F" w:rsidR="006B62BF" w:rsidRDefault="006B62BF" w:rsidP="006B62BF">
      <w:pPr>
        <w:rPr>
          <w:b/>
          <w:u w:val="single"/>
        </w:rPr>
      </w:pPr>
      <w:r w:rsidRPr="000B56F5">
        <w:t>This question will be evaluated and scored using the scoring methodology below</w:t>
      </w:r>
      <w:r>
        <w:t>.</w:t>
      </w:r>
    </w:p>
    <w:p w14:paraId="3DCEBDEC" w14:textId="77777777" w:rsidR="006B62BF" w:rsidRPr="000B56F5" w:rsidRDefault="006B62BF" w:rsidP="006B62BF">
      <w:pPr>
        <w:rPr>
          <w:b/>
          <w:u w:val="single"/>
        </w:rPr>
      </w:pPr>
      <w:r w:rsidRPr="000B56F5">
        <w:rPr>
          <w:b/>
          <w:u w:val="single"/>
        </w:rPr>
        <w:t>Scoring Methodology</w:t>
      </w:r>
    </w:p>
    <w:p w14:paraId="3F58CA8C" w14:textId="77777777" w:rsidR="006B62BF" w:rsidRPr="000B56F5" w:rsidRDefault="006B62BF" w:rsidP="006B62BF">
      <w:pPr>
        <w:rPr>
          <w:b/>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247"/>
      </w:tblGrid>
      <w:tr w:rsidR="006B62BF" w:rsidRPr="000B56F5" w14:paraId="1A036453" w14:textId="77777777" w:rsidTr="005028DD">
        <w:tc>
          <w:tcPr>
            <w:tcW w:w="2410" w:type="dxa"/>
            <w:shd w:val="clear" w:color="auto" w:fill="auto"/>
            <w:vAlign w:val="center"/>
          </w:tcPr>
          <w:p w14:paraId="4C5F2A8F" w14:textId="77777777" w:rsidR="006B62BF" w:rsidRPr="000B56F5" w:rsidRDefault="006B62BF" w:rsidP="005028DD">
            <w:pPr>
              <w:rPr>
                <w:b/>
              </w:rPr>
            </w:pPr>
            <w:r w:rsidRPr="000B56F5">
              <w:rPr>
                <w:b/>
              </w:rPr>
              <w:t>3 - Good</w:t>
            </w:r>
          </w:p>
        </w:tc>
        <w:tc>
          <w:tcPr>
            <w:tcW w:w="6247" w:type="dxa"/>
            <w:shd w:val="clear" w:color="auto" w:fill="auto"/>
          </w:tcPr>
          <w:p w14:paraId="1DF6A422" w14:textId="6D57BF2B" w:rsidR="006B62BF" w:rsidRPr="000B56F5" w:rsidRDefault="006B62BF" w:rsidP="005028DD">
            <w:r w:rsidRPr="000B56F5">
              <w:t xml:space="preserve">The response addresses all </w:t>
            </w:r>
            <w:r w:rsidR="003E78D7">
              <w:t xml:space="preserve">of </w:t>
            </w:r>
            <w:r w:rsidRPr="000B56F5">
              <w:t>the key points listed above in sufficient detail providing confidence that th</w:t>
            </w:r>
            <w:r w:rsidR="003E78D7">
              <w:t>e Framework performance requirements will be met.</w:t>
            </w:r>
          </w:p>
        </w:tc>
      </w:tr>
      <w:tr w:rsidR="006B62BF" w:rsidRPr="000B56F5" w14:paraId="0AD650EB" w14:textId="77777777" w:rsidTr="005028DD">
        <w:tc>
          <w:tcPr>
            <w:tcW w:w="2410" w:type="dxa"/>
            <w:shd w:val="clear" w:color="auto" w:fill="auto"/>
            <w:vAlign w:val="center"/>
          </w:tcPr>
          <w:p w14:paraId="0F2C91EE" w14:textId="77777777" w:rsidR="006B62BF" w:rsidRPr="000B56F5" w:rsidRDefault="006B62BF" w:rsidP="005028DD">
            <w:pPr>
              <w:rPr>
                <w:b/>
              </w:rPr>
            </w:pPr>
            <w:r w:rsidRPr="000B56F5">
              <w:rPr>
                <w:b/>
              </w:rPr>
              <w:t>2 - Acceptable</w:t>
            </w:r>
          </w:p>
        </w:tc>
        <w:tc>
          <w:tcPr>
            <w:tcW w:w="6247" w:type="dxa"/>
            <w:shd w:val="clear" w:color="auto" w:fill="auto"/>
          </w:tcPr>
          <w:p w14:paraId="2CBA86E9" w14:textId="5DE770EF" w:rsidR="006B62BF" w:rsidRPr="000B56F5" w:rsidRDefault="003E78D7" w:rsidP="003E78D7">
            <w:r>
              <w:t xml:space="preserve">The Tenderer </w:t>
            </w:r>
            <w:r w:rsidR="00984E93">
              <w:t xml:space="preserve">has provided </w:t>
            </w:r>
            <w:r w:rsidR="006B62BF" w:rsidRPr="000B56F5">
              <w:t xml:space="preserve">all </w:t>
            </w:r>
            <w:r>
              <w:t xml:space="preserve">of </w:t>
            </w:r>
            <w:r w:rsidR="006B62BF" w:rsidRPr="000B56F5">
              <w:t xml:space="preserve">the key </w:t>
            </w:r>
            <w:r>
              <w:t>performance requirements</w:t>
            </w:r>
            <w:r w:rsidR="006B62BF" w:rsidRPr="000B56F5">
              <w:t xml:space="preserve"> listed above but lacks detail in answering the question fully. </w:t>
            </w:r>
          </w:p>
        </w:tc>
      </w:tr>
      <w:tr w:rsidR="006B62BF" w:rsidRPr="000B56F5" w14:paraId="7B49EBCA" w14:textId="77777777" w:rsidTr="005028DD">
        <w:tc>
          <w:tcPr>
            <w:tcW w:w="2410" w:type="dxa"/>
            <w:shd w:val="clear" w:color="auto" w:fill="auto"/>
            <w:vAlign w:val="center"/>
          </w:tcPr>
          <w:p w14:paraId="5AEB0AA8" w14:textId="77777777" w:rsidR="006B62BF" w:rsidRPr="000B56F5" w:rsidRDefault="006B62BF" w:rsidP="005028DD">
            <w:pPr>
              <w:rPr>
                <w:b/>
              </w:rPr>
            </w:pPr>
            <w:r w:rsidRPr="000B56F5">
              <w:rPr>
                <w:b/>
              </w:rPr>
              <w:t>1 - Minor Concerns</w:t>
            </w:r>
          </w:p>
        </w:tc>
        <w:tc>
          <w:tcPr>
            <w:tcW w:w="6247" w:type="dxa"/>
            <w:shd w:val="clear" w:color="auto" w:fill="auto"/>
          </w:tcPr>
          <w:p w14:paraId="557EC49F" w14:textId="0008E7CE" w:rsidR="006B62BF" w:rsidRPr="000B56F5" w:rsidRDefault="006B62BF" w:rsidP="005028DD">
            <w:r w:rsidRPr="000B56F5">
              <w:t>T</w:t>
            </w:r>
            <w:r w:rsidR="00984E93">
              <w:t xml:space="preserve">he </w:t>
            </w:r>
            <w:r w:rsidRPr="000B56F5">
              <w:t>Tenderer has provided most of the key points listed above but lacks detail. The response does not provide confidence that t</w:t>
            </w:r>
            <w:r w:rsidR="003E78D7">
              <w:t>he Framework performance requirements will be adequately managed.</w:t>
            </w:r>
          </w:p>
        </w:tc>
      </w:tr>
      <w:tr w:rsidR="006B62BF" w:rsidRPr="000B56F5" w14:paraId="53A9B163" w14:textId="77777777" w:rsidTr="005028DD">
        <w:tc>
          <w:tcPr>
            <w:tcW w:w="2410" w:type="dxa"/>
            <w:shd w:val="clear" w:color="auto" w:fill="auto"/>
            <w:vAlign w:val="center"/>
          </w:tcPr>
          <w:p w14:paraId="5DE79107" w14:textId="77777777" w:rsidR="006B62BF" w:rsidRPr="000B56F5" w:rsidRDefault="006B62BF" w:rsidP="005028DD">
            <w:pPr>
              <w:rPr>
                <w:b/>
              </w:rPr>
            </w:pPr>
            <w:r w:rsidRPr="000B56F5">
              <w:rPr>
                <w:b/>
              </w:rPr>
              <w:t>0 - Major Concerns</w:t>
            </w:r>
          </w:p>
        </w:tc>
        <w:tc>
          <w:tcPr>
            <w:tcW w:w="6247" w:type="dxa"/>
            <w:shd w:val="clear" w:color="auto" w:fill="auto"/>
          </w:tcPr>
          <w:p w14:paraId="615D4EEC" w14:textId="73E255B4" w:rsidR="006B62BF" w:rsidRPr="000B56F5" w:rsidRDefault="006B62BF" w:rsidP="005028DD">
            <w:r w:rsidRPr="000B56F5">
              <w:t>The Tenderer has failed to address the question or submitted a nil/blank response or any element of the response</w:t>
            </w:r>
            <w:r w:rsidR="003E78D7">
              <w:t xml:space="preserve"> gives cause for major concern.</w:t>
            </w:r>
          </w:p>
        </w:tc>
      </w:tr>
    </w:tbl>
    <w:p w14:paraId="6B2A94FC" w14:textId="77777777" w:rsidR="006B62BF" w:rsidRPr="006B62BF" w:rsidRDefault="006B62BF" w:rsidP="006B62BF"/>
    <w:p w14:paraId="1CB9CBD9" w14:textId="2E0C728D" w:rsidR="000B56F5" w:rsidRPr="000B56F5" w:rsidRDefault="000B56F5" w:rsidP="000B56F5">
      <w:pPr>
        <w:pStyle w:val="Heading1"/>
      </w:pPr>
      <w:r w:rsidRPr="000B56F5">
        <w:t>Sustainable Procurement (Weighting 1%)</w:t>
      </w:r>
    </w:p>
    <w:p w14:paraId="5DE32B63" w14:textId="3369C2C8" w:rsidR="000B56F5" w:rsidRPr="000B56F5" w:rsidRDefault="000B56F5" w:rsidP="000B56F5">
      <w:pPr>
        <w:pStyle w:val="Heading2"/>
      </w:pPr>
      <w:r w:rsidRPr="000B56F5">
        <w:t>Sustainable Procurement (Weighting 1%)</w:t>
      </w:r>
    </w:p>
    <w:p w14:paraId="6F0467AD" w14:textId="18D84C8A" w:rsidR="000B56F5" w:rsidRPr="000B56F5" w:rsidRDefault="000B56F5" w:rsidP="000B56F5">
      <w:r w:rsidRPr="000B56F5">
        <w:t>The Contractor will be expected to support the Authority’s Sustainable Procurement practice, as detai</w:t>
      </w:r>
      <w:r w:rsidR="00804E04">
        <w:t>led in Section 2.</w:t>
      </w:r>
    </w:p>
    <w:p w14:paraId="170A5B93" w14:textId="05B9D1B2" w:rsidR="000B56F5" w:rsidRPr="000B56F5" w:rsidRDefault="000B56F5" w:rsidP="000B56F5">
      <w:r w:rsidRPr="000B56F5">
        <w:t xml:space="preserve">In line with this requirement, please outline your organisation’s approach to Sustainable Procurement.  </w:t>
      </w:r>
    </w:p>
    <w:p w14:paraId="487FA92B" w14:textId="43183EC0" w:rsidR="000B56F5" w:rsidRPr="000B56F5" w:rsidRDefault="000B56F5" w:rsidP="000B56F5">
      <w:r w:rsidRPr="000B56F5">
        <w:t>Your response should also demonstrate how your organisation will ensure compliance with all statutory environmental obligations and effectively manage its environmental impacts during the delivery of this Framework Agreement including:</w:t>
      </w:r>
    </w:p>
    <w:p w14:paraId="6489A6F1" w14:textId="08959CA5" w:rsidR="000B56F5" w:rsidRPr="000B56F5" w:rsidRDefault="000B56F5" w:rsidP="009C78AE">
      <w:pPr>
        <w:pStyle w:val="ListParagraph"/>
        <w:numPr>
          <w:ilvl w:val="0"/>
          <w:numId w:val="10"/>
        </w:numPr>
      </w:pPr>
      <w:r w:rsidRPr="000B56F5">
        <w:t xml:space="preserve">Your organisations </w:t>
      </w:r>
      <w:r w:rsidR="00BF0E72">
        <w:t xml:space="preserve">overall </w:t>
      </w:r>
      <w:r w:rsidRPr="000B56F5">
        <w:t>approach to environmental management;</w:t>
      </w:r>
    </w:p>
    <w:p w14:paraId="0FD660F7" w14:textId="4FA9E3C4" w:rsidR="000B56F5" w:rsidRPr="000B56F5" w:rsidRDefault="00BF0E72" w:rsidP="009C78AE">
      <w:pPr>
        <w:pStyle w:val="ListParagraph"/>
        <w:numPr>
          <w:ilvl w:val="0"/>
          <w:numId w:val="10"/>
        </w:numPr>
      </w:pPr>
      <w:r>
        <w:t xml:space="preserve">Your organisations approach specific to sustainable </w:t>
      </w:r>
      <w:r w:rsidR="00B4214E">
        <w:t>management</w:t>
      </w:r>
      <w:r>
        <w:t xml:space="preserve"> of Data Centres</w:t>
      </w:r>
      <w:r w:rsidR="000B56F5" w:rsidRPr="000B56F5">
        <w:t>;</w:t>
      </w:r>
    </w:p>
    <w:p w14:paraId="02A7D028" w14:textId="77777777" w:rsidR="000B56F5" w:rsidRPr="000B56F5" w:rsidRDefault="000B56F5" w:rsidP="000B56F5"/>
    <w:p w14:paraId="6FA734FE" w14:textId="30071442" w:rsidR="000B56F5" w:rsidRDefault="000B56F5" w:rsidP="000B56F5">
      <w:r w:rsidRPr="000B56F5">
        <w:t>This question will be evaluated and scored using the scoring methodology below</w:t>
      </w:r>
      <w:r w:rsidR="006B62BF">
        <w:t>.</w:t>
      </w:r>
    </w:p>
    <w:p w14:paraId="616CC2F1" w14:textId="77777777" w:rsidR="000B56F5" w:rsidRPr="000B56F5" w:rsidRDefault="000B56F5" w:rsidP="000B56F5"/>
    <w:p w14:paraId="7CA8DD9F" w14:textId="77777777" w:rsidR="000B56F5" w:rsidRPr="000B56F5" w:rsidRDefault="000B56F5" w:rsidP="000B56F5">
      <w:pPr>
        <w:rPr>
          <w:b/>
          <w:u w:val="single"/>
        </w:rPr>
      </w:pPr>
      <w:r w:rsidRPr="000B56F5">
        <w:rPr>
          <w:b/>
          <w:u w:val="single"/>
        </w:rPr>
        <w:t>Scoring Methodology</w:t>
      </w:r>
    </w:p>
    <w:p w14:paraId="754B0595" w14:textId="77777777" w:rsidR="000B56F5" w:rsidRPr="000B56F5" w:rsidRDefault="000B56F5" w:rsidP="000B56F5">
      <w:pPr>
        <w:rPr>
          <w:b/>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6499"/>
      </w:tblGrid>
      <w:tr w:rsidR="000B56F5" w:rsidRPr="000B56F5" w14:paraId="324E4A3C" w14:textId="77777777" w:rsidTr="00CE5319">
        <w:tc>
          <w:tcPr>
            <w:tcW w:w="2442" w:type="dxa"/>
            <w:shd w:val="clear" w:color="auto" w:fill="auto"/>
            <w:vAlign w:val="center"/>
          </w:tcPr>
          <w:p w14:paraId="5A2229D3" w14:textId="77777777" w:rsidR="000B56F5" w:rsidRPr="000B56F5" w:rsidRDefault="000B56F5" w:rsidP="000B56F5">
            <w:pPr>
              <w:rPr>
                <w:b/>
              </w:rPr>
            </w:pPr>
            <w:r w:rsidRPr="000B56F5">
              <w:rPr>
                <w:b/>
              </w:rPr>
              <w:t>3 - Good</w:t>
            </w:r>
          </w:p>
        </w:tc>
        <w:tc>
          <w:tcPr>
            <w:tcW w:w="6774" w:type="dxa"/>
            <w:shd w:val="clear" w:color="auto" w:fill="auto"/>
          </w:tcPr>
          <w:p w14:paraId="6BAB77DD" w14:textId="5F05781C" w:rsidR="000B56F5" w:rsidRPr="000B56F5" w:rsidRDefault="00470481" w:rsidP="00470481">
            <w:r>
              <w:t xml:space="preserve">The </w:t>
            </w:r>
            <w:r w:rsidR="000B56F5" w:rsidRPr="000B56F5">
              <w:t>Tenderer’s response is comprehensive, clearly demonstrating a strong commitment in their organisation’s approach to the management of corporate sustainability throughout the life of the Framework Agreement.</w:t>
            </w:r>
          </w:p>
          <w:p w14:paraId="3B3A9478" w14:textId="62D946EB" w:rsidR="000B56F5" w:rsidRPr="000B56F5" w:rsidRDefault="000B56F5" w:rsidP="00470481">
            <w:r w:rsidRPr="000B56F5">
              <w:t xml:space="preserve">The response addresses all the key points listed above in sufficient detail providing confidence that the </w:t>
            </w:r>
            <w:r w:rsidR="00470481">
              <w:t>T</w:t>
            </w:r>
            <w:r w:rsidR="00FC68B4">
              <w:t xml:space="preserve">enderer will fully </w:t>
            </w:r>
            <w:r w:rsidRPr="000B56F5">
              <w:t>manage its environmental impacts during the delivery of the Framework Agreement</w:t>
            </w:r>
            <w:r w:rsidR="00470481">
              <w:t>.</w:t>
            </w:r>
          </w:p>
          <w:p w14:paraId="515E862D" w14:textId="77777777" w:rsidR="000B56F5" w:rsidRPr="000B56F5" w:rsidRDefault="000B56F5" w:rsidP="00470481"/>
        </w:tc>
      </w:tr>
      <w:tr w:rsidR="000B56F5" w:rsidRPr="000B56F5" w14:paraId="7B09596C" w14:textId="77777777" w:rsidTr="00CE5319">
        <w:tc>
          <w:tcPr>
            <w:tcW w:w="2442" w:type="dxa"/>
            <w:shd w:val="clear" w:color="auto" w:fill="auto"/>
            <w:vAlign w:val="center"/>
          </w:tcPr>
          <w:p w14:paraId="0082AA21" w14:textId="77777777" w:rsidR="000B56F5" w:rsidRPr="000B56F5" w:rsidRDefault="000B56F5" w:rsidP="000B56F5">
            <w:pPr>
              <w:rPr>
                <w:b/>
              </w:rPr>
            </w:pPr>
            <w:r w:rsidRPr="000B56F5">
              <w:rPr>
                <w:b/>
              </w:rPr>
              <w:t>2 - Acceptable</w:t>
            </w:r>
          </w:p>
        </w:tc>
        <w:tc>
          <w:tcPr>
            <w:tcW w:w="6774" w:type="dxa"/>
            <w:shd w:val="clear" w:color="auto" w:fill="auto"/>
          </w:tcPr>
          <w:p w14:paraId="253B6AB3" w14:textId="7A2A2BC1" w:rsidR="00470481" w:rsidRDefault="000B56F5" w:rsidP="00470481">
            <w:r w:rsidRPr="000B56F5">
              <w:t xml:space="preserve">The Tenderer has demonstrated a commitment to </w:t>
            </w:r>
            <w:r w:rsidR="00315A09">
              <w:t>corporate sustainability</w:t>
            </w:r>
            <w:r w:rsidRPr="000B56F5">
              <w:t xml:space="preserve"> throughout the life of the Framework Agreement. </w:t>
            </w:r>
          </w:p>
          <w:p w14:paraId="3E763554" w14:textId="77777777" w:rsidR="00470481" w:rsidRDefault="000B56F5" w:rsidP="00470481">
            <w:r w:rsidRPr="000B56F5">
              <w:t>The response addresses most of the ke</w:t>
            </w:r>
            <w:r w:rsidR="00470481">
              <w:t>y points listed above in detail</w:t>
            </w:r>
          </w:p>
          <w:p w14:paraId="2E02CFED" w14:textId="77777777" w:rsidR="00470481" w:rsidRDefault="00470481" w:rsidP="00470481">
            <w:r>
              <w:t>OR</w:t>
            </w:r>
          </w:p>
          <w:p w14:paraId="50FD7F83" w14:textId="67803F1E" w:rsidR="00470481" w:rsidRDefault="00315A09" w:rsidP="00470481">
            <w:r w:rsidRPr="000B56F5">
              <w:t>The</w:t>
            </w:r>
            <w:r w:rsidR="000B56F5" w:rsidRPr="000B56F5">
              <w:t xml:space="preserve"> Tenderer has provided all the key points listed above but lacks detail i</w:t>
            </w:r>
            <w:r w:rsidR="00470481">
              <w:t>n answering the question fully.</w:t>
            </w:r>
          </w:p>
          <w:p w14:paraId="17498894" w14:textId="5637DDA1" w:rsidR="000B56F5" w:rsidRPr="000B56F5" w:rsidRDefault="000B56F5" w:rsidP="00470481">
            <w:r w:rsidRPr="000B56F5">
              <w:t>The response provides confidence that the Tenderer will add</w:t>
            </w:r>
            <w:r w:rsidR="00470481">
              <w:t xml:space="preserve">ress the sustainability </w:t>
            </w:r>
            <w:r w:rsidRPr="000B56F5">
              <w:t>aspects of the requirement</w:t>
            </w:r>
            <w:r w:rsidR="00470481">
              <w:t>.</w:t>
            </w:r>
          </w:p>
        </w:tc>
      </w:tr>
      <w:tr w:rsidR="000B56F5" w:rsidRPr="000B56F5" w14:paraId="21C7890F" w14:textId="77777777" w:rsidTr="00CE5319">
        <w:tc>
          <w:tcPr>
            <w:tcW w:w="2442" w:type="dxa"/>
            <w:shd w:val="clear" w:color="auto" w:fill="auto"/>
            <w:vAlign w:val="center"/>
          </w:tcPr>
          <w:p w14:paraId="30B88543" w14:textId="77777777" w:rsidR="000B56F5" w:rsidRPr="000B56F5" w:rsidRDefault="000B56F5" w:rsidP="000B56F5">
            <w:pPr>
              <w:rPr>
                <w:b/>
              </w:rPr>
            </w:pPr>
            <w:r w:rsidRPr="000B56F5">
              <w:rPr>
                <w:b/>
              </w:rPr>
              <w:t>1 - Minor Concerns</w:t>
            </w:r>
          </w:p>
        </w:tc>
        <w:tc>
          <w:tcPr>
            <w:tcW w:w="6774" w:type="dxa"/>
            <w:shd w:val="clear" w:color="auto" w:fill="auto"/>
          </w:tcPr>
          <w:p w14:paraId="3E9EC2EB" w14:textId="51DF6D2B" w:rsidR="00470481" w:rsidRDefault="000B56F5" w:rsidP="00470481">
            <w:r w:rsidRPr="000B56F5">
              <w:t>The Tenderer response sh</w:t>
            </w:r>
            <w:r w:rsidR="00470481">
              <w:t xml:space="preserve">ows </w:t>
            </w:r>
            <w:r w:rsidR="00315A09">
              <w:t xml:space="preserve">some level of commitment to corporate sustainability </w:t>
            </w:r>
            <w:r w:rsidR="00470481" w:rsidRPr="000B56F5">
              <w:t>throughout the life of the Framework Agreement</w:t>
            </w:r>
          </w:p>
          <w:p w14:paraId="517FD987" w14:textId="77777777" w:rsidR="00470481" w:rsidRDefault="000B56F5" w:rsidP="00470481">
            <w:r w:rsidRPr="000B56F5">
              <w:t>OR</w:t>
            </w:r>
          </w:p>
          <w:p w14:paraId="2A02583E" w14:textId="5EFFBF54" w:rsidR="00470481" w:rsidRDefault="00315A09" w:rsidP="00470481">
            <w:r w:rsidRPr="000B56F5">
              <w:t>The</w:t>
            </w:r>
            <w:r w:rsidR="000B56F5" w:rsidRPr="000B56F5">
              <w:t xml:space="preserve"> Tenderer has provided most of the key points</w:t>
            </w:r>
            <w:r w:rsidR="00470481">
              <w:t xml:space="preserve"> listed above but lacks detail.</w:t>
            </w:r>
          </w:p>
          <w:p w14:paraId="4253BEB2" w14:textId="111D3EE4" w:rsidR="000B56F5" w:rsidRPr="000B56F5" w:rsidRDefault="000B56F5" w:rsidP="00470481">
            <w:r w:rsidRPr="000B56F5">
              <w:t>The response does not provide confidence that the Tenderer will address these key aspects of the requirement</w:t>
            </w:r>
          </w:p>
        </w:tc>
      </w:tr>
      <w:tr w:rsidR="000B56F5" w:rsidRPr="000B56F5" w14:paraId="358217E9" w14:textId="77777777" w:rsidTr="00CE5319">
        <w:tc>
          <w:tcPr>
            <w:tcW w:w="2442" w:type="dxa"/>
            <w:shd w:val="clear" w:color="auto" w:fill="auto"/>
            <w:vAlign w:val="center"/>
          </w:tcPr>
          <w:p w14:paraId="7EE1C87B" w14:textId="77777777" w:rsidR="000B56F5" w:rsidRPr="000B56F5" w:rsidRDefault="000B56F5" w:rsidP="000B56F5">
            <w:pPr>
              <w:rPr>
                <w:b/>
              </w:rPr>
            </w:pPr>
            <w:r w:rsidRPr="000B56F5">
              <w:rPr>
                <w:b/>
              </w:rPr>
              <w:t>0 - Major Concerns</w:t>
            </w:r>
          </w:p>
        </w:tc>
        <w:tc>
          <w:tcPr>
            <w:tcW w:w="6774" w:type="dxa"/>
            <w:shd w:val="clear" w:color="auto" w:fill="auto"/>
          </w:tcPr>
          <w:p w14:paraId="277458DF" w14:textId="5E240655" w:rsidR="000B56F5" w:rsidRPr="000B56F5" w:rsidRDefault="000B56F5" w:rsidP="000B56F5">
            <w:r w:rsidRPr="000B56F5">
              <w:t>The Tenderer has failed to address the question, submitted a nil response or any element of the response gives cause for major concern.</w:t>
            </w:r>
          </w:p>
        </w:tc>
      </w:tr>
    </w:tbl>
    <w:p w14:paraId="6AA4F1C2" w14:textId="7FCFE542" w:rsidR="00D73013" w:rsidRDefault="00D73013" w:rsidP="000B56F5">
      <w:pPr>
        <w:rPr>
          <w:b/>
          <w:u w:val="single"/>
        </w:rPr>
      </w:pPr>
    </w:p>
    <w:p w14:paraId="0FF9DE40" w14:textId="098297B8" w:rsidR="000B56F5" w:rsidRPr="000B56F5" w:rsidRDefault="00D73013" w:rsidP="00D73013">
      <w:pPr>
        <w:ind w:left="720" w:hanging="720"/>
        <w:rPr>
          <w:b/>
          <w:u w:val="single"/>
        </w:rPr>
      </w:pPr>
      <w:r>
        <w:rPr>
          <w:b/>
          <w:u w:val="single"/>
        </w:rPr>
        <w:br w:type="page"/>
      </w:r>
    </w:p>
    <w:p w14:paraId="3C1B5154" w14:textId="42379495" w:rsidR="000B56F5" w:rsidRPr="000B56F5" w:rsidRDefault="000B56F5" w:rsidP="00D20FCC">
      <w:pPr>
        <w:pStyle w:val="Heading1"/>
      </w:pPr>
      <w:r w:rsidRPr="000B56F5">
        <w:t>Phase Ou</w:t>
      </w:r>
      <w:r w:rsidR="00946679">
        <w:t>t &amp; Exit Strategy</w:t>
      </w:r>
      <w:r w:rsidR="006731E8">
        <w:t xml:space="preserve"> (Weighting 1</w:t>
      </w:r>
      <w:r w:rsidR="00090E83">
        <w:t>%)</w:t>
      </w:r>
    </w:p>
    <w:p w14:paraId="7F0BD110" w14:textId="08373B6B" w:rsidR="000B56F5" w:rsidRPr="000B56F5" w:rsidRDefault="000B56F5" w:rsidP="000B56F5">
      <w:r w:rsidRPr="000B56F5">
        <w:t>At the e</w:t>
      </w:r>
      <w:r w:rsidR="00D30EA1">
        <w:t>nd of each Institution Call-off contract</w:t>
      </w:r>
      <w:r w:rsidRPr="000B56F5">
        <w:t>, The Contractor must plan for the possible transition o</w:t>
      </w:r>
      <w:r w:rsidR="00D30EA1">
        <w:t>f the Services provision to another provider</w:t>
      </w:r>
      <w:r w:rsidRPr="000B56F5">
        <w:t xml:space="preserve">. </w:t>
      </w:r>
    </w:p>
    <w:p w14:paraId="036052F2" w14:textId="60EDD5B3" w:rsidR="000B56F5" w:rsidRPr="000B56F5" w:rsidRDefault="000B56F5" w:rsidP="000B56F5">
      <w:r w:rsidRPr="000B56F5">
        <w:t xml:space="preserve">Please provide a detailed Phase-Out Plan &amp; Exit Strategy necessary to be undertaken during the </w:t>
      </w:r>
      <w:r w:rsidR="00EA0E69">
        <w:t>six-month</w:t>
      </w:r>
      <w:r w:rsidR="00D30EA1">
        <w:t xml:space="preserve"> period prior to the date of each Institutional Call-off</w:t>
      </w:r>
      <w:r w:rsidRPr="000B56F5">
        <w:t xml:space="preserve"> expiry or date of earlier termination as notified by The Authority.  The plan should specify as a minimum:</w:t>
      </w:r>
    </w:p>
    <w:p w14:paraId="215AB268" w14:textId="77777777" w:rsidR="000B56F5" w:rsidRPr="000B56F5" w:rsidRDefault="000B56F5" w:rsidP="009C78AE">
      <w:pPr>
        <w:pStyle w:val="ListParagraph"/>
        <w:numPr>
          <w:ilvl w:val="0"/>
          <w:numId w:val="11"/>
        </w:numPr>
      </w:pPr>
      <w:r w:rsidRPr="000B56F5">
        <w:t>Identification of the tasks and timescales for completion;</w:t>
      </w:r>
    </w:p>
    <w:p w14:paraId="2F7B04DE" w14:textId="77777777" w:rsidR="000B56F5" w:rsidRPr="000B56F5" w:rsidRDefault="000B56F5" w:rsidP="009C78AE">
      <w:pPr>
        <w:pStyle w:val="ListParagraph"/>
        <w:numPr>
          <w:ilvl w:val="0"/>
          <w:numId w:val="11"/>
        </w:numPr>
      </w:pPr>
      <w:r w:rsidRPr="000B56F5">
        <w:t>Identification of staff involved and roles allocated;</w:t>
      </w:r>
    </w:p>
    <w:p w14:paraId="1D767E42" w14:textId="1F2C0E65" w:rsidR="000B56F5" w:rsidRPr="000B56F5" w:rsidRDefault="00D30EA1" w:rsidP="009C78AE">
      <w:pPr>
        <w:pStyle w:val="ListParagraph"/>
        <w:numPr>
          <w:ilvl w:val="0"/>
          <w:numId w:val="11"/>
        </w:numPr>
      </w:pPr>
      <w:r>
        <w:t>Method of data migration to a new System</w:t>
      </w:r>
      <w:r w:rsidR="000B56F5" w:rsidRPr="000B56F5">
        <w:t>;</w:t>
      </w:r>
    </w:p>
    <w:p w14:paraId="65D679FF" w14:textId="77777777" w:rsidR="000B56F5" w:rsidRPr="000B56F5" w:rsidRDefault="000B56F5" w:rsidP="009C78AE">
      <w:pPr>
        <w:pStyle w:val="ListParagraph"/>
        <w:numPr>
          <w:ilvl w:val="0"/>
          <w:numId w:val="11"/>
        </w:numPr>
      </w:pPr>
      <w:r w:rsidRPr="000B56F5">
        <w:t>Expectation of assistance from the Institutions;</w:t>
      </w:r>
    </w:p>
    <w:p w14:paraId="70132B89" w14:textId="1AF2967A" w:rsidR="000B56F5" w:rsidRPr="000B56F5" w:rsidRDefault="000B56F5" w:rsidP="009C78AE">
      <w:pPr>
        <w:pStyle w:val="ListParagraph"/>
        <w:numPr>
          <w:ilvl w:val="0"/>
          <w:numId w:val="11"/>
        </w:numPr>
      </w:pPr>
      <w:r w:rsidRPr="000B56F5">
        <w:t xml:space="preserve">Level of support to </w:t>
      </w:r>
      <w:r w:rsidR="00D30EA1">
        <w:t>be provided to the Institutions</w:t>
      </w:r>
      <w:r w:rsidRPr="000B56F5">
        <w:t>.</w:t>
      </w:r>
    </w:p>
    <w:p w14:paraId="2B8F0C45" w14:textId="77777777" w:rsidR="000B56F5" w:rsidRPr="000B56F5" w:rsidRDefault="000B56F5" w:rsidP="000B56F5"/>
    <w:p w14:paraId="29D68DBB" w14:textId="77777777" w:rsidR="000B56F5" w:rsidRPr="000B56F5" w:rsidRDefault="000B56F5" w:rsidP="000B56F5">
      <w:r w:rsidRPr="000B56F5">
        <w:t>This question will be evaluated and scored using the scoring methodology below.</w:t>
      </w:r>
    </w:p>
    <w:p w14:paraId="27081088" w14:textId="77777777" w:rsidR="000B56F5" w:rsidRPr="000B56F5" w:rsidRDefault="000B56F5" w:rsidP="000B56F5">
      <w:pPr>
        <w:rPr>
          <w:b/>
          <w:u w:val="single"/>
        </w:rPr>
      </w:pPr>
    </w:p>
    <w:p w14:paraId="7B6F03D3" w14:textId="77777777" w:rsidR="000B56F5" w:rsidRPr="000B56F5" w:rsidRDefault="000B56F5" w:rsidP="000B56F5">
      <w:pPr>
        <w:rPr>
          <w:b/>
          <w:u w:val="single"/>
        </w:rPr>
      </w:pPr>
      <w:r w:rsidRPr="000B56F5">
        <w:rPr>
          <w:b/>
        </w:rPr>
        <w:tab/>
      </w:r>
      <w:r w:rsidRPr="000B56F5">
        <w:rPr>
          <w:b/>
          <w:u w:val="single"/>
        </w:rPr>
        <w:t>Scoring Methodology</w:t>
      </w:r>
    </w:p>
    <w:p w14:paraId="6CF2AE5C" w14:textId="77777777" w:rsidR="000B56F5" w:rsidRPr="000B56F5" w:rsidRDefault="000B56F5" w:rsidP="000B56F5">
      <w:pPr>
        <w:rPr>
          <w:b/>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247"/>
      </w:tblGrid>
      <w:tr w:rsidR="000B56F5" w:rsidRPr="000B56F5" w14:paraId="45447CD6" w14:textId="77777777" w:rsidTr="00CE5319">
        <w:tc>
          <w:tcPr>
            <w:tcW w:w="2410" w:type="dxa"/>
            <w:shd w:val="clear" w:color="auto" w:fill="auto"/>
            <w:vAlign w:val="center"/>
          </w:tcPr>
          <w:p w14:paraId="3517F13D" w14:textId="77777777" w:rsidR="000B56F5" w:rsidRPr="000B56F5" w:rsidRDefault="000B56F5" w:rsidP="000B56F5">
            <w:pPr>
              <w:rPr>
                <w:b/>
              </w:rPr>
            </w:pPr>
            <w:r w:rsidRPr="000B56F5">
              <w:rPr>
                <w:b/>
              </w:rPr>
              <w:t>3 - Good</w:t>
            </w:r>
          </w:p>
        </w:tc>
        <w:tc>
          <w:tcPr>
            <w:tcW w:w="6247" w:type="dxa"/>
            <w:shd w:val="clear" w:color="auto" w:fill="auto"/>
          </w:tcPr>
          <w:p w14:paraId="728E87B3" w14:textId="77777777" w:rsidR="000B56F5" w:rsidRPr="000B56F5" w:rsidRDefault="000B56F5" w:rsidP="00EA0E69">
            <w:r w:rsidRPr="000B56F5">
              <w:t>The Tenderer has provided a detailed Phase–Out Plan and Exit Strategy in relation to the Framework Agreement coming to an end. The response addresses all the key points listed above in sufficient detail providing confidence that the Phase-Out Plan and Exit Strategy will be managed effectively.</w:t>
            </w:r>
          </w:p>
          <w:p w14:paraId="60F8D65C" w14:textId="77777777" w:rsidR="000B56F5" w:rsidRPr="000B56F5" w:rsidRDefault="000B56F5" w:rsidP="00EA0E69"/>
        </w:tc>
      </w:tr>
      <w:tr w:rsidR="000B56F5" w:rsidRPr="000B56F5" w14:paraId="4962230F" w14:textId="77777777" w:rsidTr="00CE5319">
        <w:tc>
          <w:tcPr>
            <w:tcW w:w="2410" w:type="dxa"/>
            <w:shd w:val="clear" w:color="auto" w:fill="auto"/>
            <w:vAlign w:val="center"/>
          </w:tcPr>
          <w:p w14:paraId="6F75E96B" w14:textId="77777777" w:rsidR="000B56F5" w:rsidRPr="000B56F5" w:rsidRDefault="000B56F5" w:rsidP="000B56F5">
            <w:pPr>
              <w:rPr>
                <w:b/>
              </w:rPr>
            </w:pPr>
            <w:r w:rsidRPr="000B56F5">
              <w:rPr>
                <w:b/>
              </w:rPr>
              <w:t>2 - Acceptable</w:t>
            </w:r>
          </w:p>
        </w:tc>
        <w:tc>
          <w:tcPr>
            <w:tcW w:w="6247" w:type="dxa"/>
            <w:shd w:val="clear" w:color="auto" w:fill="auto"/>
          </w:tcPr>
          <w:p w14:paraId="1988993F" w14:textId="77777777" w:rsidR="000B56F5" w:rsidRPr="000B56F5" w:rsidRDefault="000B56F5" w:rsidP="00EA0E69">
            <w:r w:rsidRPr="000B56F5">
              <w:t>The Tenderer has provided a Phase-Out Plan and exit Strategy in relation to the Framework Agreement coming to an end. The response addresses most of the key points listed above in detail OR the Tenderer has provided all the key points listed above but lacks detail in answering the question fully. The response provides confidence that the Phase-Out Plan and Exit Strategy will be adequately managed.</w:t>
            </w:r>
          </w:p>
          <w:p w14:paraId="286BC49A" w14:textId="77777777" w:rsidR="000B56F5" w:rsidRPr="000B56F5" w:rsidRDefault="000B56F5" w:rsidP="00EA0E69"/>
        </w:tc>
      </w:tr>
      <w:tr w:rsidR="000B56F5" w:rsidRPr="000B56F5" w14:paraId="2C6D497F" w14:textId="77777777" w:rsidTr="00CE5319">
        <w:tc>
          <w:tcPr>
            <w:tcW w:w="2410" w:type="dxa"/>
            <w:shd w:val="clear" w:color="auto" w:fill="auto"/>
            <w:vAlign w:val="center"/>
          </w:tcPr>
          <w:p w14:paraId="54E7CB7E" w14:textId="77777777" w:rsidR="000B56F5" w:rsidRPr="000B56F5" w:rsidRDefault="000B56F5" w:rsidP="000B56F5">
            <w:pPr>
              <w:rPr>
                <w:b/>
              </w:rPr>
            </w:pPr>
            <w:r w:rsidRPr="000B56F5">
              <w:rPr>
                <w:b/>
              </w:rPr>
              <w:t>1 - Minor Concerns</w:t>
            </w:r>
          </w:p>
        </w:tc>
        <w:tc>
          <w:tcPr>
            <w:tcW w:w="6247" w:type="dxa"/>
            <w:shd w:val="clear" w:color="auto" w:fill="auto"/>
          </w:tcPr>
          <w:p w14:paraId="5B7680D5" w14:textId="77777777" w:rsidR="000B56F5" w:rsidRPr="000B56F5" w:rsidRDefault="000B56F5" w:rsidP="00EA0E69">
            <w:r w:rsidRPr="000B56F5">
              <w:t xml:space="preserve">The Tenderer has provided a basic Phase-Out Plan and Exit Strategy in relation to the Framework Agreement coming to an end. </w:t>
            </w:r>
          </w:p>
          <w:p w14:paraId="6C393FF8" w14:textId="77777777" w:rsidR="000B56F5" w:rsidRPr="000B56F5" w:rsidRDefault="000B56F5" w:rsidP="00EA0E69">
            <w:r w:rsidRPr="000B56F5">
              <w:t>The response addresses some of the key points listed above in detail OR the Tenderer has provided most of the key points listed above but lacks detail. The response does not provide confidence that the Phase-Out Plan and Exit Strategy will be adequately managed.</w:t>
            </w:r>
          </w:p>
          <w:p w14:paraId="6B581011" w14:textId="77777777" w:rsidR="000B56F5" w:rsidRPr="000B56F5" w:rsidRDefault="000B56F5" w:rsidP="00EA0E69"/>
        </w:tc>
      </w:tr>
      <w:tr w:rsidR="000B56F5" w:rsidRPr="000B56F5" w14:paraId="3765CFD9" w14:textId="77777777" w:rsidTr="00CE5319">
        <w:tc>
          <w:tcPr>
            <w:tcW w:w="2410" w:type="dxa"/>
            <w:shd w:val="clear" w:color="auto" w:fill="auto"/>
            <w:vAlign w:val="center"/>
          </w:tcPr>
          <w:p w14:paraId="77A96792" w14:textId="77777777" w:rsidR="000B56F5" w:rsidRPr="000B56F5" w:rsidRDefault="000B56F5" w:rsidP="000B56F5">
            <w:pPr>
              <w:rPr>
                <w:b/>
              </w:rPr>
            </w:pPr>
            <w:r w:rsidRPr="000B56F5">
              <w:rPr>
                <w:b/>
              </w:rPr>
              <w:t>0 - Major Concerns</w:t>
            </w:r>
          </w:p>
        </w:tc>
        <w:tc>
          <w:tcPr>
            <w:tcW w:w="6247" w:type="dxa"/>
            <w:shd w:val="clear" w:color="auto" w:fill="auto"/>
          </w:tcPr>
          <w:p w14:paraId="38F75575" w14:textId="77777777" w:rsidR="000B56F5" w:rsidRPr="000B56F5" w:rsidRDefault="000B56F5" w:rsidP="00EA0E69">
            <w:r w:rsidRPr="000B56F5">
              <w:t>The Tenderer has failed to address the question or submitted a nil/blank response or any element of the response gives cause for major concern.</w:t>
            </w:r>
          </w:p>
          <w:p w14:paraId="03964871" w14:textId="77777777" w:rsidR="000B56F5" w:rsidRPr="000B56F5" w:rsidRDefault="000B56F5" w:rsidP="00EA0E69"/>
        </w:tc>
      </w:tr>
    </w:tbl>
    <w:p w14:paraId="3947BE1E" w14:textId="77777777" w:rsidR="0055090A" w:rsidRPr="00EA0E69" w:rsidRDefault="0055090A" w:rsidP="00EA0E69">
      <w:pPr>
        <w:pStyle w:val="Heading1"/>
      </w:pPr>
      <w:r w:rsidRPr="00EA0E69">
        <w:t>Form of Tender</w:t>
      </w:r>
    </w:p>
    <w:p w14:paraId="105556CC" w14:textId="77777777" w:rsidR="0055090A" w:rsidRPr="00FF1C52" w:rsidRDefault="0055090A" w:rsidP="00C8002D">
      <w:pPr>
        <w:pStyle w:val="Heading2"/>
      </w:pPr>
      <w:r w:rsidRPr="00FF1C52">
        <w:t xml:space="preserve">Please confirm that you will be in a position to complete </w:t>
      </w:r>
      <w:r w:rsidR="005A74F3" w:rsidRPr="00FF1C52">
        <w:t xml:space="preserve">prior to </w:t>
      </w:r>
      <w:r w:rsidR="00FF1C52" w:rsidRPr="00FF1C52">
        <w:t xml:space="preserve">award “Appendix </w:t>
      </w:r>
      <w:r w:rsidRPr="00FF1C52">
        <w:t>A – Form of Tender” in the Technical Questionnaire in PCS-Tender.</w:t>
      </w:r>
    </w:p>
    <w:p w14:paraId="34EF980B" w14:textId="77777777" w:rsidR="0055090A" w:rsidRPr="00FF1C52" w:rsidRDefault="0055090A" w:rsidP="00C8002D">
      <w:pPr>
        <w:pStyle w:val="Heading2"/>
      </w:pPr>
      <w:r w:rsidRPr="00FF1C52">
        <w:t>This information should only be submitted at p</w:t>
      </w:r>
      <w:r w:rsidR="001B500B" w:rsidRPr="00FF1C52">
        <w:t>rior to</w:t>
      </w:r>
      <w:r w:rsidRPr="00FF1C52">
        <w:t xml:space="preserve"> awa</w:t>
      </w:r>
      <w:r w:rsidR="00FF1C52">
        <w:t xml:space="preserve">rd. It is for information only </w:t>
      </w:r>
      <w:r w:rsidRPr="00FF1C52">
        <w:t>and will not be scored.</w:t>
      </w:r>
    </w:p>
    <w:p w14:paraId="66A89FDB" w14:textId="77777777" w:rsidR="00F8365A" w:rsidRPr="00B764B2" w:rsidRDefault="00F8365A" w:rsidP="0055090A">
      <w:pPr>
        <w:rPr>
          <w:lang w:eastAsia="fr-FR"/>
        </w:rPr>
      </w:pPr>
    </w:p>
    <w:p w14:paraId="6E0987CC" w14:textId="77777777" w:rsidR="0055090A" w:rsidRPr="00B764B2" w:rsidRDefault="0055090A" w:rsidP="0055090A">
      <w:pPr>
        <w:rPr>
          <w:b/>
          <w:lang w:eastAsia="fr-FR"/>
        </w:rPr>
      </w:pPr>
      <w:r w:rsidRPr="00B764B2">
        <w:rPr>
          <w:lang w:eastAsia="fr-FR"/>
        </w:rPr>
        <w:tab/>
        <w:t xml:space="preserve">Please refer to PCS Contract Notice: Additional Information </w:t>
      </w:r>
    </w:p>
    <w:p w14:paraId="7EAB84E2" w14:textId="77777777" w:rsidR="00DE7086" w:rsidRPr="00B764B2" w:rsidRDefault="00DE7086" w:rsidP="0098780A">
      <w:pPr>
        <w:rPr>
          <w:b/>
        </w:rPr>
      </w:pPr>
    </w:p>
    <w:p w14:paraId="1515C1F9" w14:textId="77777777" w:rsidR="00380585" w:rsidRPr="00FF1C52" w:rsidRDefault="00380585" w:rsidP="00FF1C52">
      <w:pPr>
        <w:pStyle w:val="Heading1"/>
      </w:pPr>
      <w:r w:rsidRPr="00FF1C52">
        <w:t>Freedom of Information</w:t>
      </w:r>
      <w:r w:rsidR="00292215" w:rsidRPr="00FF1C52">
        <w:t xml:space="preserve"> </w:t>
      </w:r>
    </w:p>
    <w:p w14:paraId="7EBF2846" w14:textId="77777777" w:rsidR="004B41EF" w:rsidRPr="00B764B2" w:rsidRDefault="00380585" w:rsidP="00C8002D">
      <w:pPr>
        <w:pStyle w:val="Heading2"/>
      </w:pPr>
      <w:r w:rsidRPr="00B764B2">
        <w:t xml:space="preserve">Please </w:t>
      </w:r>
      <w:r w:rsidR="004B41EF" w:rsidRPr="00B764B2">
        <w:t xml:space="preserve">confirm that you will be in a position </w:t>
      </w:r>
      <w:r w:rsidR="00494DC4" w:rsidRPr="00B764B2">
        <w:t xml:space="preserve">to complete </w:t>
      </w:r>
      <w:r w:rsidR="001B500B" w:rsidRPr="00B764B2">
        <w:t>(</w:t>
      </w:r>
      <w:r w:rsidR="005A74F3" w:rsidRPr="00B764B2">
        <w:t>prior to</w:t>
      </w:r>
      <w:r w:rsidR="004B41EF" w:rsidRPr="00B764B2">
        <w:t xml:space="preserve"> award</w:t>
      </w:r>
      <w:r w:rsidR="001B500B" w:rsidRPr="00B764B2">
        <w:t>)</w:t>
      </w:r>
      <w:r w:rsidR="004B41EF" w:rsidRPr="00B764B2">
        <w:t xml:space="preserve"> </w:t>
      </w:r>
      <w:r w:rsidRPr="00B764B2">
        <w:t>“Appendix B – Freedom of Information”</w:t>
      </w:r>
      <w:r w:rsidR="004B41EF" w:rsidRPr="00B764B2">
        <w:t xml:space="preserve"> (if applicable) in </w:t>
      </w:r>
      <w:r w:rsidRPr="00B764B2">
        <w:t>the Technical Questionnaire in PCS-Tender.</w:t>
      </w:r>
    </w:p>
    <w:p w14:paraId="0678F5D3" w14:textId="77777777" w:rsidR="00380585" w:rsidRPr="00B764B2" w:rsidRDefault="00380585" w:rsidP="00C8002D">
      <w:pPr>
        <w:pStyle w:val="Heading2"/>
      </w:pPr>
      <w:r w:rsidRPr="00B764B2">
        <w:t>This information should only be submitted if applicable</w:t>
      </w:r>
      <w:r w:rsidR="00D2747C" w:rsidRPr="00B764B2">
        <w:t xml:space="preserve"> at point of award</w:t>
      </w:r>
      <w:r w:rsidRPr="00B764B2">
        <w:t>. It is for information only and will not be scored.</w:t>
      </w:r>
    </w:p>
    <w:p w14:paraId="697B64CF" w14:textId="77777777" w:rsidR="003B4D3C" w:rsidRPr="00B764B2" w:rsidRDefault="003B4D3C" w:rsidP="00C8002D">
      <w:pPr>
        <w:pStyle w:val="Heading2"/>
        <w:rPr>
          <w:b/>
          <w:lang w:eastAsia="fr-FR"/>
        </w:rPr>
      </w:pPr>
      <w:r w:rsidRPr="00B764B2">
        <w:rPr>
          <w:lang w:eastAsia="fr-FR"/>
        </w:rPr>
        <w:t xml:space="preserve">Please refer to PCS Contract Notice: Additional Information </w:t>
      </w:r>
    </w:p>
    <w:p w14:paraId="3DD74C24" w14:textId="77777777" w:rsidR="003B4D3C" w:rsidRPr="00B764B2" w:rsidRDefault="003B4D3C" w:rsidP="0098780A"/>
    <w:p w14:paraId="0790CCFC" w14:textId="77777777" w:rsidR="00380585" w:rsidRPr="008C349F" w:rsidRDefault="00380585" w:rsidP="008C349F">
      <w:pPr>
        <w:pStyle w:val="Heading1"/>
      </w:pPr>
      <w:r w:rsidRPr="008C349F">
        <w:t>Supply Chain Code of Conduct</w:t>
      </w:r>
    </w:p>
    <w:p w14:paraId="59149319" w14:textId="77777777" w:rsidR="00380585" w:rsidRPr="00B764B2" w:rsidRDefault="004B41EF" w:rsidP="00C8002D">
      <w:pPr>
        <w:pStyle w:val="Heading2"/>
      </w:pPr>
      <w:r w:rsidRPr="00B764B2">
        <w:t xml:space="preserve">Please confirm that you will be in a position </w:t>
      </w:r>
      <w:r w:rsidR="00494DC4" w:rsidRPr="00B764B2">
        <w:t>to complete</w:t>
      </w:r>
      <w:r w:rsidR="001B500B" w:rsidRPr="00B764B2">
        <w:t xml:space="preserve"> (</w:t>
      </w:r>
      <w:r w:rsidR="005A74F3" w:rsidRPr="00B764B2">
        <w:t>prior to</w:t>
      </w:r>
      <w:r w:rsidR="00494DC4" w:rsidRPr="00B764B2">
        <w:t xml:space="preserve"> award</w:t>
      </w:r>
      <w:r w:rsidR="001B500B" w:rsidRPr="00B764B2">
        <w:t>)</w:t>
      </w:r>
      <w:r w:rsidRPr="00B764B2">
        <w:t xml:space="preserve"> </w:t>
      </w:r>
      <w:r w:rsidR="00380585" w:rsidRPr="00B764B2">
        <w:t xml:space="preserve">“Appendix </w:t>
      </w:r>
      <w:r w:rsidR="00C11AC1" w:rsidRPr="00B764B2">
        <w:t>D</w:t>
      </w:r>
      <w:r w:rsidR="00380585" w:rsidRPr="00B764B2">
        <w:t xml:space="preserve"> – Supply Chain Code of Conduct” in the Technical Questionnaire in PCS-Tender.</w:t>
      </w:r>
    </w:p>
    <w:p w14:paraId="055BFEBA" w14:textId="77777777" w:rsidR="00494DC4" w:rsidRPr="00B764B2" w:rsidRDefault="004B41EF" w:rsidP="00C8002D">
      <w:pPr>
        <w:pStyle w:val="Heading2"/>
        <w:rPr>
          <w:b/>
          <w:lang w:eastAsia="fr-FR"/>
        </w:rPr>
      </w:pPr>
      <w:r w:rsidRPr="00B764B2">
        <w:t>This information should only be submitted p</w:t>
      </w:r>
      <w:r w:rsidR="001769B9" w:rsidRPr="00B764B2">
        <w:t>rior to</w:t>
      </w:r>
      <w:r w:rsidRPr="00B764B2">
        <w:t xml:space="preserve"> award. It is for information only and will not be scored.</w:t>
      </w:r>
      <w:r w:rsidR="006D18ED" w:rsidRPr="00B764B2">
        <w:t xml:space="preserve"> </w:t>
      </w:r>
      <w:r w:rsidR="00494DC4" w:rsidRPr="00B764B2">
        <w:rPr>
          <w:lang w:eastAsia="fr-FR"/>
        </w:rPr>
        <w:t>Please refer to PCS Contract Notice:</w:t>
      </w:r>
      <w:r w:rsidR="001B500B" w:rsidRPr="00B764B2">
        <w:rPr>
          <w:lang w:eastAsia="fr-FR"/>
        </w:rPr>
        <w:t xml:space="preserve"> </w:t>
      </w:r>
      <w:r w:rsidR="00494DC4" w:rsidRPr="00B764B2">
        <w:rPr>
          <w:lang w:eastAsia="fr-FR"/>
        </w:rPr>
        <w:t xml:space="preserve">Additional Information </w:t>
      </w:r>
    </w:p>
    <w:p w14:paraId="168D75B1" w14:textId="77777777" w:rsidR="00005FC0" w:rsidRDefault="00005FC0" w:rsidP="0098780A">
      <w:pPr>
        <w:rPr>
          <w:b/>
          <w:u w:val="single"/>
        </w:rPr>
      </w:pPr>
    </w:p>
    <w:p w14:paraId="64E8EAB8" w14:textId="35607A27" w:rsidR="00005FC0" w:rsidRDefault="008D2458" w:rsidP="00005FC0">
      <w:pPr>
        <w:pStyle w:val="Heading1"/>
      </w:pPr>
      <w:r>
        <w:t xml:space="preserve">Potential </w:t>
      </w:r>
      <w:r w:rsidR="00005FC0">
        <w:t>Cla</w:t>
      </w:r>
      <w:r>
        <w:t>rification Meetings</w:t>
      </w:r>
    </w:p>
    <w:p w14:paraId="56817F8A" w14:textId="77777777" w:rsidR="00005FC0" w:rsidRDefault="00005FC0" w:rsidP="00005FC0"/>
    <w:p w14:paraId="4106C426" w14:textId="4C25D0DF" w:rsidR="00005FC0" w:rsidRDefault="00005FC0" w:rsidP="00005FC0">
      <w:r>
        <w:t>Tende</w:t>
      </w:r>
      <w:r w:rsidR="008D2458">
        <w:t xml:space="preserve">rers may be required </w:t>
      </w:r>
      <w:r>
        <w:t>to a</w:t>
      </w:r>
      <w:r w:rsidR="00E01C56">
        <w:t xml:space="preserve">ttend a clarification meeting </w:t>
      </w:r>
      <w:r>
        <w:t xml:space="preserve">on the </w:t>
      </w:r>
      <w:r w:rsidR="008D2458">
        <w:t>capability of their solution</w:t>
      </w:r>
      <w:r>
        <w:t>.  No weighting will be applied to any potential on-site meetings.</w:t>
      </w:r>
    </w:p>
    <w:p w14:paraId="3547D47A" w14:textId="72033014" w:rsidR="00380585" w:rsidRPr="00B764B2" w:rsidRDefault="00380585" w:rsidP="0098780A">
      <w:pPr>
        <w:rPr>
          <w:b/>
          <w:u w:val="single"/>
        </w:rPr>
      </w:pPr>
    </w:p>
    <w:p w14:paraId="1FAF1AEC" w14:textId="77777777" w:rsidR="00380585" w:rsidRPr="001849AD" w:rsidRDefault="00380585" w:rsidP="001849AD">
      <w:pPr>
        <w:pStyle w:val="Title"/>
        <w:rPr>
          <w:sz w:val="28"/>
          <w:szCs w:val="28"/>
          <w:u w:val="single"/>
        </w:rPr>
      </w:pPr>
      <w:r w:rsidRPr="001849AD">
        <w:rPr>
          <w:sz w:val="28"/>
          <w:szCs w:val="28"/>
          <w:u w:val="single"/>
        </w:rPr>
        <w:t>Commercial Questionnaire</w:t>
      </w:r>
    </w:p>
    <w:p w14:paraId="1BA897F8" w14:textId="77777777" w:rsidR="00011F25" w:rsidRPr="00B764B2" w:rsidRDefault="00011F25" w:rsidP="00011F25"/>
    <w:p w14:paraId="2DDABC78" w14:textId="77777777" w:rsidR="00BD4960" w:rsidRPr="00B764B2" w:rsidRDefault="001E0BBE" w:rsidP="008C349F">
      <w:r w:rsidRPr="00B764B2">
        <w:t xml:space="preserve">Appendix </w:t>
      </w:r>
      <w:r w:rsidRPr="005769C0">
        <w:t>G - P</w:t>
      </w:r>
      <w:r w:rsidR="00BD4960" w:rsidRPr="005769C0">
        <w:t>ricing</w:t>
      </w:r>
      <w:r w:rsidR="00BD4960" w:rsidRPr="00B764B2">
        <w:t xml:space="preserve"> Schedule in the Commercial Questionnaire on PCS-T</w:t>
      </w:r>
      <w:r w:rsidR="008C349F">
        <w:t xml:space="preserve"> relates to the com</w:t>
      </w:r>
      <w:r w:rsidR="001B500B" w:rsidRPr="00B764B2">
        <w:t>mercial element of the ITT.</w:t>
      </w:r>
      <w:r w:rsidR="00BD4960" w:rsidRPr="00B764B2">
        <w:t xml:space="preserve"> </w:t>
      </w:r>
    </w:p>
    <w:p w14:paraId="3B7D03FD" w14:textId="132A64A8" w:rsidR="00011F25" w:rsidRPr="00CD73B1" w:rsidRDefault="001B500B" w:rsidP="008C349F">
      <w:pPr>
        <w:rPr>
          <w:color w:val="FF0000"/>
        </w:rPr>
      </w:pPr>
      <w:r w:rsidRPr="005769C0">
        <w:t xml:space="preserve">The file consists of </w:t>
      </w:r>
      <w:r w:rsidR="00011F25" w:rsidRPr="005769C0">
        <w:t>worksheets</w:t>
      </w:r>
      <w:r w:rsidRPr="005769C0">
        <w:t xml:space="preserve"> which should be </w:t>
      </w:r>
      <w:r w:rsidR="00011F25" w:rsidRPr="005769C0">
        <w:t>completed</w:t>
      </w:r>
      <w:r w:rsidR="001E0BBE" w:rsidRPr="005769C0">
        <w:t xml:space="preserve"> </w:t>
      </w:r>
      <w:r w:rsidR="00313BA6" w:rsidRPr="005769C0">
        <w:t>by the Tenderer, including</w:t>
      </w:r>
      <w:r w:rsidR="00484510" w:rsidRPr="005769C0">
        <w:t>:</w:t>
      </w:r>
      <w:r w:rsidR="00313BA6" w:rsidRPr="005769C0">
        <w:t xml:space="preserve"> </w:t>
      </w:r>
      <w:r w:rsidR="005769C0" w:rsidRPr="005769C0">
        <w:t xml:space="preserve">Implementation Costs; </w:t>
      </w:r>
      <w:r w:rsidR="00313BA6" w:rsidRPr="005769C0">
        <w:t>Recurring Costs; Framework Rate Card.</w:t>
      </w:r>
    </w:p>
    <w:p w14:paraId="460EC3D2" w14:textId="12AD1F10" w:rsidR="00011F25" w:rsidRDefault="00BD4960" w:rsidP="008C349F">
      <w:r w:rsidRPr="00B764B2">
        <w:t xml:space="preserve">The maximum marks available for this </w:t>
      </w:r>
      <w:r w:rsidR="00031424" w:rsidRPr="00B764B2">
        <w:t xml:space="preserve">section of the </w:t>
      </w:r>
      <w:r w:rsidRPr="00B764B2">
        <w:t xml:space="preserve">tender </w:t>
      </w:r>
      <w:r w:rsidRPr="005769C0">
        <w:t xml:space="preserve">will be </w:t>
      </w:r>
      <w:r w:rsidR="00CD73B1" w:rsidRPr="005769C0">
        <w:rPr>
          <w:color w:val="FF0000"/>
        </w:rPr>
        <w:t>30</w:t>
      </w:r>
      <w:r w:rsidR="00F26A54" w:rsidRPr="005769C0">
        <w:rPr>
          <w:color w:val="FF0000"/>
        </w:rPr>
        <w:t>%</w:t>
      </w:r>
      <w:r w:rsidR="00011F25" w:rsidRPr="005769C0">
        <w:rPr>
          <w:color w:val="FF0000"/>
        </w:rPr>
        <w:t>.</w:t>
      </w:r>
      <w:r w:rsidR="00011F25" w:rsidRPr="00CD73B1">
        <w:rPr>
          <w:color w:val="FF0000"/>
        </w:rPr>
        <w:t xml:space="preserve">  </w:t>
      </w:r>
      <w:r w:rsidR="00011F25" w:rsidRPr="00B764B2">
        <w:t>Costs are split into  components with points allocated as follows:</w:t>
      </w:r>
    </w:p>
    <w:p w14:paraId="5C6448E3" w14:textId="77777777" w:rsidR="005769C0" w:rsidRDefault="005769C0" w:rsidP="008C349F"/>
    <w:p w14:paraId="0E4D0DBA" w14:textId="4D63094B" w:rsidR="005769C0" w:rsidRDefault="005769C0" w:rsidP="008C349F">
      <w:r>
        <w:t>20% GSA pricing</w:t>
      </w:r>
    </w:p>
    <w:p w14:paraId="3D144334" w14:textId="6B684F32" w:rsidR="005769C0" w:rsidRPr="00B764B2" w:rsidRDefault="005769C0" w:rsidP="008C349F">
      <w:r>
        <w:t>10% Sector Rate Card</w:t>
      </w:r>
    </w:p>
    <w:p w14:paraId="3F7B30FF" w14:textId="77777777" w:rsidR="00742321" w:rsidRPr="00B764B2" w:rsidRDefault="00742321" w:rsidP="00742321">
      <w:pPr>
        <w:ind w:left="360"/>
        <w:rPr>
          <w:rFonts w:cs="Arial"/>
          <w:szCs w:val="22"/>
          <w:u w:val="single"/>
        </w:rPr>
      </w:pPr>
    </w:p>
    <w:p w14:paraId="74137B14" w14:textId="77777777" w:rsidR="00742321" w:rsidRPr="00B764B2" w:rsidRDefault="00742321" w:rsidP="008C349F">
      <w:pPr>
        <w:rPr>
          <w:rFonts w:cs="Arial"/>
          <w:b/>
          <w:szCs w:val="22"/>
          <w:u w:val="single"/>
        </w:rPr>
      </w:pPr>
      <w:r w:rsidRPr="00B764B2">
        <w:rPr>
          <w:rFonts w:cs="Arial"/>
          <w:b/>
          <w:szCs w:val="22"/>
          <w:u w:val="single"/>
        </w:rPr>
        <w:t>Notes on Pricing Submissions</w:t>
      </w:r>
    </w:p>
    <w:p w14:paraId="2A65A34E" w14:textId="5D1992E7" w:rsidR="00742321" w:rsidRPr="00B764B2" w:rsidRDefault="003A7D30" w:rsidP="008C349F">
      <w:pPr>
        <w:rPr>
          <w:rFonts w:cs="Arial"/>
          <w:szCs w:val="22"/>
        </w:rPr>
      </w:pPr>
      <w:r w:rsidRPr="00B764B2">
        <w:rPr>
          <w:rFonts w:cs="Arial"/>
          <w:szCs w:val="22"/>
        </w:rPr>
        <w:t>Pricing must be entered</w:t>
      </w:r>
      <w:r w:rsidR="00D2570D">
        <w:rPr>
          <w:rFonts w:cs="Arial"/>
          <w:szCs w:val="22"/>
        </w:rPr>
        <w:t xml:space="preserve"> in Appendix F</w:t>
      </w:r>
      <w:r w:rsidR="00742321" w:rsidRPr="00B764B2">
        <w:rPr>
          <w:rFonts w:cs="Arial"/>
          <w:szCs w:val="22"/>
        </w:rPr>
        <w:t xml:space="preserve"> - Pricing Schedule. </w:t>
      </w:r>
    </w:p>
    <w:p w14:paraId="1836B6B0" w14:textId="77777777" w:rsidR="00742321" w:rsidRPr="00B764B2" w:rsidRDefault="00742321" w:rsidP="008C349F">
      <w:pPr>
        <w:rPr>
          <w:rFonts w:cs="Arial"/>
          <w:szCs w:val="22"/>
        </w:rPr>
      </w:pPr>
      <w:r w:rsidRPr="00B764B2">
        <w:rPr>
          <w:rFonts w:cs="Arial"/>
          <w:szCs w:val="22"/>
        </w:rPr>
        <w:t>Throughout the tender unless otherwise indicated, Te</w:t>
      </w:r>
      <w:r w:rsidR="008C349F">
        <w:rPr>
          <w:rFonts w:cs="Arial"/>
          <w:szCs w:val="22"/>
        </w:rPr>
        <w:t xml:space="preserve">nderers must submit pricing in </w:t>
      </w:r>
      <w:r w:rsidRPr="00B764B2">
        <w:rPr>
          <w:rFonts w:cs="Arial"/>
          <w:szCs w:val="22"/>
        </w:rPr>
        <w:t xml:space="preserve">Sterling (£). </w:t>
      </w:r>
    </w:p>
    <w:p w14:paraId="71802053" w14:textId="77777777" w:rsidR="001E30FA" w:rsidRDefault="001E30FA" w:rsidP="00A72CDE">
      <w:pPr>
        <w:rPr>
          <w:rFonts w:cs="Arial"/>
          <w:b/>
          <w:szCs w:val="22"/>
          <w:u w:val="single"/>
        </w:rPr>
      </w:pPr>
    </w:p>
    <w:p w14:paraId="1C854D18" w14:textId="77777777" w:rsidR="00492189" w:rsidRPr="00492189" w:rsidRDefault="001F436B" w:rsidP="00A72CDE">
      <w:pPr>
        <w:rPr>
          <w:rFonts w:cs="Arial"/>
          <w:szCs w:val="22"/>
        </w:rPr>
      </w:pPr>
      <w:r w:rsidRPr="00492189">
        <w:rPr>
          <w:rFonts w:cs="Arial"/>
          <w:b/>
          <w:szCs w:val="22"/>
          <w:u w:val="single"/>
        </w:rPr>
        <w:t>Scoring Methodology</w:t>
      </w:r>
    </w:p>
    <w:p w14:paraId="40EB57C7" w14:textId="77777777" w:rsidR="00A72CDE" w:rsidRPr="00492189" w:rsidRDefault="008649BC" w:rsidP="00A72CDE">
      <w:pPr>
        <w:rPr>
          <w:rFonts w:cs="Arial"/>
          <w:szCs w:val="22"/>
        </w:rPr>
      </w:pPr>
      <w:r w:rsidRPr="00492189">
        <w:rPr>
          <w:rFonts w:cs="Arial"/>
          <w:szCs w:val="22"/>
        </w:rPr>
        <w:t>The Tenderer submitting the lowest total cost will receive the full marks, with the remaining Tenderers</w:t>
      </w:r>
      <w:r w:rsidR="001A6318" w:rsidRPr="00492189">
        <w:rPr>
          <w:rFonts w:cs="Arial"/>
          <w:szCs w:val="22"/>
        </w:rPr>
        <w:t xml:space="preserve"> being</w:t>
      </w:r>
      <w:r w:rsidRPr="00492189">
        <w:rPr>
          <w:rFonts w:cs="Arial"/>
          <w:szCs w:val="22"/>
        </w:rPr>
        <w:t xml:space="preserve"> scored on a pro-rata basis. </w:t>
      </w:r>
    </w:p>
    <w:p w14:paraId="1F9340C4" w14:textId="77777777" w:rsidR="001A6318" w:rsidRPr="00492189" w:rsidRDefault="001A6318" w:rsidP="008649BC">
      <w:pPr>
        <w:ind w:left="360"/>
        <w:rPr>
          <w:rFonts w:cs="Arial"/>
          <w:szCs w:val="22"/>
        </w:rPr>
      </w:pPr>
    </w:p>
    <w:p w14:paraId="6F286003" w14:textId="77777777" w:rsidR="008649BC" w:rsidRPr="00087657" w:rsidRDefault="008649BC" w:rsidP="008649BC">
      <w:pPr>
        <w:ind w:left="360"/>
        <w:rPr>
          <w:rFonts w:ascii="Verdana" w:hAnsi="Verdana"/>
          <w:szCs w:val="22"/>
        </w:rPr>
      </w:pPr>
      <w:r w:rsidRPr="00492189">
        <w:rPr>
          <w:rFonts w:cs="Arial"/>
          <w:szCs w:val="22"/>
        </w:rPr>
        <w:tab/>
      </w:r>
      <w:r w:rsidRPr="00492189">
        <w:rPr>
          <w:rFonts w:cs="Arial"/>
          <w:szCs w:val="22"/>
        </w:rPr>
        <w:tab/>
      </w:r>
      <w:r w:rsidRPr="00311B65">
        <w:rPr>
          <w:rFonts w:cs="Arial"/>
          <w:szCs w:val="22"/>
          <w:highlight w:val="yellow"/>
        </w:rPr>
        <w:t>Lowest Price/Tender price x Marks Available</w:t>
      </w:r>
    </w:p>
    <w:p w14:paraId="7AF857DC" w14:textId="77777777" w:rsidR="001405B3" w:rsidRDefault="001405B3" w:rsidP="008C349F">
      <w:pPr>
        <w:rPr>
          <w:rFonts w:cs="Arial"/>
          <w:szCs w:val="22"/>
        </w:rPr>
      </w:pPr>
    </w:p>
    <w:sectPr w:rsidR="001405B3" w:rsidSect="00455043">
      <w:footerReference w:type="defaul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64B7" w14:textId="77777777" w:rsidR="00186F51" w:rsidRDefault="00186F51" w:rsidP="00FF26CC">
      <w:r>
        <w:separator/>
      </w:r>
    </w:p>
  </w:endnote>
  <w:endnote w:type="continuationSeparator" w:id="0">
    <w:p w14:paraId="53102550" w14:textId="77777777" w:rsidR="00186F51" w:rsidRDefault="00186F51" w:rsidP="00FF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D8E5" w14:textId="77777777" w:rsidR="00BE5D4A" w:rsidRPr="00335AFD" w:rsidRDefault="00BE5D4A" w:rsidP="00BE6CE7">
    <w:pPr>
      <w:rPr>
        <w:rFonts w:cs="Arial"/>
        <w:sz w:val="18"/>
      </w:rPr>
    </w:pPr>
    <w:r w:rsidRPr="00335AFD">
      <w:rPr>
        <w:rFonts w:cs="Arial"/>
        <w:sz w:val="18"/>
      </w:rPr>
      <w:t>APUC Li</w:t>
    </w:r>
    <w:r>
      <w:rPr>
        <w:rFonts w:cs="Arial"/>
        <w:sz w:val="18"/>
      </w:rPr>
      <w:t>mited, Registered Office: Unit 27</w:t>
    </w:r>
    <w:r w:rsidRPr="00335AFD">
      <w:rPr>
        <w:rFonts w:cs="Arial"/>
        <w:sz w:val="18"/>
      </w:rPr>
      <w:t xml:space="preserve">, Stirling Business Centre, Wellgreen, Stirling, FK8 2DZ Incorporated in Scotland SC 314764     VAT Registration Number 974 9816 54 </w:t>
    </w:r>
  </w:p>
  <w:p w14:paraId="460FA9C6" w14:textId="60657F78" w:rsidR="00BE5D4A" w:rsidRPr="00335AFD" w:rsidRDefault="00BE5D4A" w:rsidP="00BE6CE7">
    <w:pPr>
      <w:pStyle w:val="Footer"/>
      <w:pBdr>
        <w:top w:val="thinThickSmallGap" w:sz="24" w:space="0" w:color="622423"/>
      </w:pBdr>
      <w:tabs>
        <w:tab w:val="clear" w:pos="4153"/>
        <w:tab w:val="clear" w:pos="8306"/>
        <w:tab w:val="right" w:pos="9360"/>
      </w:tabs>
      <w:rPr>
        <w:rFonts w:cs="Arial"/>
        <w:sz w:val="18"/>
      </w:rPr>
    </w:pPr>
    <w:r w:rsidRPr="00335AFD">
      <w:rPr>
        <w:rFonts w:cs="Arial"/>
        <w:sz w:val="18"/>
      </w:rPr>
      <w:t xml:space="preserve">Version: </w:t>
    </w:r>
    <w:r>
      <w:rPr>
        <w:rFonts w:cs="Arial"/>
        <w:sz w:val="18"/>
      </w:rPr>
      <w:fldChar w:fldCharType="begin"/>
    </w:r>
    <w:r>
      <w:rPr>
        <w:rFonts w:cs="Arial"/>
        <w:sz w:val="18"/>
      </w:rPr>
      <w:instrText xml:space="preserve"> DATE \@ "dd MMMM yyyy" </w:instrText>
    </w:r>
    <w:r>
      <w:rPr>
        <w:rFonts w:cs="Arial"/>
        <w:sz w:val="18"/>
      </w:rPr>
      <w:fldChar w:fldCharType="separate"/>
    </w:r>
    <w:r w:rsidR="001C0F4C">
      <w:rPr>
        <w:rFonts w:cs="Arial"/>
        <w:noProof/>
        <w:sz w:val="18"/>
      </w:rPr>
      <w:t>03 May 2019</w:t>
    </w:r>
    <w:r>
      <w:rPr>
        <w:rFonts w:cs="Arial"/>
        <w:sz w:val="18"/>
      </w:rPr>
      <w:fldChar w:fldCharType="end"/>
    </w:r>
    <w:r w:rsidRPr="00335AFD">
      <w:rPr>
        <w:rFonts w:cs="Arial"/>
        <w:sz w:val="18"/>
      </w:rPr>
      <w:tab/>
      <w:t xml:space="preserve">Page </w:t>
    </w:r>
    <w:r w:rsidRPr="00335AFD">
      <w:rPr>
        <w:rFonts w:cs="Arial"/>
        <w:sz w:val="18"/>
      </w:rPr>
      <w:fldChar w:fldCharType="begin"/>
    </w:r>
    <w:r w:rsidRPr="00335AFD">
      <w:rPr>
        <w:rFonts w:cs="Arial"/>
        <w:sz w:val="18"/>
      </w:rPr>
      <w:instrText xml:space="preserve"> PAGE   \* MERGEFORMAT </w:instrText>
    </w:r>
    <w:r w:rsidRPr="00335AFD">
      <w:rPr>
        <w:rFonts w:cs="Arial"/>
        <w:sz w:val="18"/>
      </w:rPr>
      <w:fldChar w:fldCharType="separate"/>
    </w:r>
    <w:r w:rsidR="001C0F4C">
      <w:rPr>
        <w:rFonts w:cs="Arial"/>
        <w:noProof/>
        <w:sz w:val="18"/>
      </w:rPr>
      <w:t>1</w:t>
    </w:r>
    <w:r w:rsidRPr="00335AFD">
      <w:rPr>
        <w:rFonts w:cs="Arial"/>
        <w:sz w:val="18"/>
      </w:rPr>
      <w:fldChar w:fldCharType="end"/>
    </w:r>
  </w:p>
  <w:p w14:paraId="61F0EFF0" w14:textId="77777777" w:rsidR="00BE5D4A" w:rsidRDefault="00BE5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CF535" w14:textId="77777777" w:rsidR="00186F51" w:rsidRDefault="00186F51" w:rsidP="00FF26CC">
      <w:r>
        <w:separator/>
      </w:r>
    </w:p>
  </w:footnote>
  <w:footnote w:type="continuationSeparator" w:id="0">
    <w:p w14:paraId="701FBE5F" w14:textId="77777777" w:rsidR="00186F51" w:rsidRDefault="00186F51" w:rsidP="00FF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E6FEDC"/>
    <w:lvl w:ilvl="0">
      <w:start w:val="1"/>
      <w:numFmt w:val="decimal"/>
      <w:pStyle w:val="Heading1"/>
      <w:lvlText w:val="%1."/>
      <w:lvlJc w:val="left"/>
      <w:pPr>
        <w:tabs>
          <w:tab w:val="num" w:pos="992"/>
        </w:tabs>
        <w:ind w:left="0" w:firstLine="0"/>
      </w:pPr>
      <w:rPr>
        <w:rFonts w:hint="default"/>
        <w:b/>
      </w:rPr>
    </w:lvl>
    <w:lvl w:ilvl="1">
      <w:start w:val="1"/>
      <w:numFmt w:val="decimal"/>
      <w:pStyle w:val="Heading2"/>
      <w:lvlText w:val="%1.%2"/>
      <w:lvlJc w:val="left"/>
      <w:pPr>
        <w:tabs>
          <w:tab w:val="num" w:pos="1843"/>
        </w:tabs>
        <w:ind w:left="851" w:firstLine="0"/>
      </w:pPr>
      <w:rPr>
        <w:rFonts w:hint="default"/>
        <w:b w:val="0"/>
        <w:color w:val="auto"/>
        <w:sz w:val="22"/>
        <w:szCs w:val="22"/>
      </w:rPr>
    </w:lvl>
    <w:lvl w:ilvl="2">
      <w:start w:val="1"/>
      <w:numFmt w:val="decimal"/>
      <w:pStyle w:val="Heading3"/>
      <w:lvlText w:val="%1.%2.%3"/>
      <w:lvlJc w:val="left"/>
      <w:pPr>
        <w:tabs>
          <w:tab w:val="num" w:pos="-852"/>
        </w:tabs>
        <w:ind w:left="-1844" w:firstLine="0"/>
      </w:pPr>
      <w:rPr>
        <w:rFonts w:hint="default"/>
        <w:b w:val="0"/>
        <w:strike w:val="0"/>
        <w:color w:val="auto"/>
      </w:rPr>
    </w:lvl>
    <w:lvl w:ilvl="3">
      <w:start w:val="1"/>
      <w:numFmt w:val="decimal"/>
      <w:pStyle w:val="Heading4"/>
      <w:lvlText w:val="%1.%2.%3.%4"/>
      <w:lvlJc w:val="left"/>
      <w:pPr>
        <w:tabs>
          <w:tab w:val="num" w:pos="1559"/>
        </w:tabs>
        <w:ind w:left="567" w:firstLine="0"/>
      </w:pPr>
      <w:rPr>
        <w:rFonts w:hint="default"/>
        <w:b w:val="0"/>
        <w:strike w:val="0"/>
        <w:color w:val="auto"/>
      </w:rPr>
    </w:lvl>
    <w:lvl w:ilvl="4">
      <w:start w:val="1"/>
      <w:numFmt w:val="decimal"/>
      <w:lvlText w:val="%1.%2.%3.%4.%5"/>
      <w:lvlJc w:val="left"/>
      <w:pPr>
        <w:ind w:left="-1844" w:firstLine="0"/>
      </w:pPr>
      <w:rPr>
        <w:rFonts w:hint="default"/>
      </w:rPr>
    </w:lvl>
    <w:lvl w:ilvl="5">
      <w:start w:val="1"/>
      <w:numFmt w:val="decimal"/>
      <w:lvlText w:val="%1.%2.%3.%4.%5.%6"/>
      <w:lvlJc w:val="left"/>
      <w:pPr>
        <w:ind w:left="-1844" w:firstLine="0"/>
      </w:pPr>
      <w:rPr>
        <w:rFonts w:hint="default"/>
      </w:rPr>
    </w:lvl>
    <w:lvl w:ilvl="6">
      <w:start w:val="1"/>
      <w:numFmt w:val="decimal"/>
      <w:lvlText w:val="%1.%2.%3.%4.%5.%6.%7"/>
      <w:lvlJc w:val="left"/>
      <w:pPr>
        <w:ind w:left="-1844" w:firstLine="0"/>
      </w:pPr>
      <w:rPr>
        <w:rFonts w:hint="default"/>
      </w:rPr>
    </w:lvl>
    <w:lvl w:ilvl="7">
      <w:start w:val="1"/>
      <w:numFmt w:val="decimal"/>
      <w:lvlText w:val="%1.%2.%3.%4.%5.%6.%7.%8"/>
      <w:lvlJc w:val="left"/>
      <w:pPr>
        <w:ind w:left="-1844" w:firstLine="0"/>
      </w:pPr>
      <w:rPr>
        <w:rFonts w:hint="default"/>
      </w:rPr>
    </w:lvl>
    <w:lvl w:ilvl="8">
      <w:start w:val="1"/>
      <w:numFmt w:val="decimal"/>
      <w:lvlText w:val="%1.%2.%3.%4.%5.%6.%7.%8.%9"/>
      <w:lvlJc w:val="left"/>
      <w:pPr>
        <w:ind w:left="-1844" w:firstLine="0"/>
      </w:pPr>
      <w:rPr>
        <w:rFonts w:hint="default"/>
      </w:rPr>
    </w:lvl>
  </w:abstractNum>
  <w:abstractNum w:abstractNumId="1" w15:restartNumberingAfterBreak="0">
    <w:nsid w:val="06E81B8B"/>
    <w:multiLevelType w:val="hybridMultilevel"/>
    <w:tmpl w:val="9D240A26"/>
    <w:lvl w:ilvl="0" w:tplc="97702F8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90F"/>
    <w:multiLevelType w:val="multilevel"/>
    <w:tmpl w:val="BAF24F40"/>
    <w:styleLink w:val="List41"/>
    <w:lvl w:ilvl="0">
      <w:start w:val="1"/>
      <w:numFmt w:val="decimal"/>
      <w:lvlText w:val="%1."/>
      <w:lvlJc w:val="left"/>
      <w:pPr>
        <w:tabs>
          <w:tab w:val="num" w:pos="567"/>
        </w:tabs>
        <w:ind w:left="567" w:hanging="567"/>
      </w:pPr>
      <w:rPr>
        <w:rFonts w:ascii="Arial" w:eastAsia="Arial" w:hAnsi="Arial" w:cs="Arial"/>
        <w:b/>
        <w:bCs/>
        <w:position w:val="0"/>
        <w:sz w:val="22"/>
        <w:szCs w:val="22"/>
      </w:rPr>
    </w:lvl>
    <w:lvl w:ilvl="1">
      <w:start w:val="1"/>
      <w:numFmt w:val="decimal"/>
      <w:lvlText w:val="%1.%2."/>
      <w:lvlJc w:val="left"/>
      <w:pPr>
        <w:tabs>
          <w:tab w:val="num" w:pos="756"/>
        </w:tabs>
        <w:ind w:left="756" w:hanging="396"/>
      </w:pPr>
      <w:rPr>
        <w:rFonts w:ascii="Arial" w:eastAsia="Arial" w:hAnsi="Arial" w:cs="Arial"/>
        <w:b/>
        <w:bCs/>
        <w:position w:val="0"/>
        <w:sz w:val="22"/>
        <w:szCs w:val="22"/>
      </w:rPr>
    </w:lvl>
    <w:lvl w:ilvl="2">
      <w:start w:val="1"/>
      <w:numFmt w:val="decimal"/>
      <w:lvlText w:val="%1.%2.%3."/>
      <w:lvlJc w:val="left"/>
      <w:pPr>
        <w:tabs>
          <w:tab w:val="num" w:pos="1020"/>
        </w:tabs>
        <w:ind w:left="1020" w:hanging="660"/>
      </w:pPr>
      <w:rPr>
        <w:rFonts w:ascii="Arial" w:eastAsia="Arial" w:hAnsi="Arial" w:cs="Arial"/>
        <w:b/>
        <w:bCs/>
        <w:position w:val="0"/>
        <w:sz w:val="22"/>
        <w:szCs w:val="22"/>
      </w:rPr>
    </w:lvl>
    <w:lvl w:ilvl="3">
      <w:start w:val="1"/>
      <w:numFmt w:val="bullet"/>
      <w:lvlText w:val="•"/>
      <w:lvlJc w:val="left"/>
      <w:pPr>
        <w:tabs>
          <w:tab w:val="num" w:pos="1020"/>
        </w:tabs>
        <w:ind w:left="1020" w:hanging="660"/>
      </w:pPr>
      <w:rPr>
        <w:rFonts w:ascii="Arial" w:eastAsia="Arial" w:hAnsi="Arial" w:cs="Arial"/>
        <w:b/>
        <w:bCs/>
        <w:position w:val="0"/>
        <w:sz w:val="22"/>
        <w:szCs w:val="22"/>
      </w:rPr>
    </w:lvl>
    <w:lvl w:ilvl="4">
      <w:start w:val="1"/>
      <w:numFmt w:val="decimal"/>
      <w:lvlText w:val="%1.%2.%3.%4.%5."/>
      <w:lvlJc w:val="left"/>
      <w:pPr>
        <w:tabs>
          <w:tab w:val="num" w:pos="1350"/>
        </w:tabs>
        <w:ind w:left="1350" w:hanging="990"/>
      </w:pPr>
      <w:rPr>
        <w:rFonts w:ascii="Arial" w:eastAsia="Arial" w:hAnsi="Arial" w:cs="Arial"/>
        <w:b/>
        <w:bCs/>
        <w:position w:val="0"/>
        <w:sz w:val="22"/>
        <w:szCs w:val="22"/>
      </w:rPr>
    </w:lvl>
    <w:lvl w:ilvl="5">
      <w:start w:val="1"/>
      <w:numFmt w:val="decimal"/>
      <w:lvlText w:val="%1.%2.%3.%4.%5.%6."/>
      <w:lvlJc w:val="left"/>
      <w:pPr>
        <w:tabs>
          <w:tab w:val="num" w:pos="1350"/>
        </w:tabs>
        <w:ind w:left="1350" w:hanging="990"/>
      </w:pPr>
      <w:rPr>
        <w:rFonts w:ascii="Arial" w:eastAsia="Arial" w:hAnsi="Arial" w:cs="Arial"/>
        <w:b/>
        <w:bCs/>
        <w:position w:val="0"/>
        <w:sz w:val="22"/>
        <w:szCs w:val="22"/>
      </w:rPr>
    </w:lvl>
    <w:lvl w:ilvl="6">
      <w:start w:val="1"/>
      <w:numFmt w:val="decimal"/>
      <w:lvlText w:val="%1.%2.%3.%4.%5.%6.%7."/>
      <w:lvlJc w:val="left"/>
      <w:pPr>
        <w:tabs>
          <w:tab w:val="num" w:pos="1680"/>
        </w:tabs>
        <w:ind w:left="1680" w:hanging="1320"/>
      </w:pPr>
      <w:rPr>
        <w:rFonts w:ascii="Arial" w:eastAsia="Arial" w:hAnsi="Arial" w:cs="Arial"/>
        <w:b/>
        <w:bCs/>
        <w:position w:val="0"/>
        <w:sz w:val="22"/>
        <w:szCs w:val="22"/>
      </w:rPr>
    </w:lvl>
    <w:lvl w:ilvl="7">
      <w:start w:val="1"/>
      <w:numFmt w:val="decimal"/>
      <w:lvlText w:val="%1.%2.%3.%4.%5.%6.%7.%8."/>
      <w:lvlJc w:val="left"/>
      <w:pPr>
        <w:tabs>
          <w:tab w:val="num" w:pos="1680"/>
        </w:tabs>
        <w:ind w:left="1680" w:hanging="1320"/>
      </w:pPr>
      <w:rPr>
        <w:rFonts w:ascii="Arial" w:eastAsia="Arial" w:hAnsi="Arial" w:cs="Arial"/>
        <w:b/>
        <w:bCs/>
        <w:position w:val="0"/>
        <w:sz w:val="22"/>
        <w:szCs w:val="22"/>
      </w:rPr>
    </w:lvl>
    <w:lvl w:ilvl="8">
      <w:start w:val="1"/>
      <w:numFmt w:val="decimal"/>
      <w:lvlText w:val="%1.%2.%3.%4.%5.%6.%7.%8.%9."/>
      <w:lvlJc w:val="left"/>
      <w:pPr>
        <w:tabs>
          <w:tab w:val="num" w:pos="2010"/>
        </w:tabs>
        <w:ind w:left="2010" w:hanging="1650"/>
      </w:pPr>
      <w:rPr>
        <w:rFonts w:ascii="Arial" w:eastAsia="Arial" w:hAnsi="Arial" w:cs="Arial"/>
        <w:b/>
        <w:bCs/>
        <w:position w:val="0"/>
        <w:sz w:val="22"/>
        <w:szCs w:val="22"/>
      </w:rPr>
    </w:lvl>
  </w:abstractNum>
  <w:abstractNum w:abstractNumId="3" w15:restartNumberingAfterBreak="0">
    <w:nsid w:val="2C58547D"/>
    <w:multiLevelType w:val="hybridMultilevel"/>
    <w:tmpl w:val="235A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E57B8"/>
    <w:multiLevelType w:val="hybridMultilevel"/>
    <w:tmpl w:val="E4DA42B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 w15:restartNumberingAfterBreak="0">
    <w:nsid w:val="33143979"/>
    <w:multiLevelType w:val="hybridMultilevel"/>
    <w:tmpl w:val="319A4BC8"/>
    <w:lvl w:ilvl="0" w:tplc="08090001">
      <w:start w:val="1"/>
      <w:numFmt w:val="bullet"/>
      <w:lvlText w:val=""/>
      <w:lvlJc w:val="left"/>
      <w:pPr>
        <w:ind w:left="4380" w:hanging="360"/>
      </w:pPr>
      <w:rPr>
        <w:rFonts w:ascii="Symbol" w:hAnsi="Symbol" w:hint="default"/>
      </w:rPr>
    </w:lvl>
    <w:lvl w:ilvl="1" w:tplc="08090003" w:tentative="1">
      <w:start w:val="1"/>
      <w:numFmt w:val="bullet"/>
      <w:lvlText w:val="o"/>
      <w:lvlJc w:val="left"/>
      <w:pPr>
        <w:ind w:left="5100" w:hanging="360"/>
      </w:pPr>
      <w:rPr>
        <w:rFonts w:ascii="Courier New" w:hAnsi="Courier New" w:cs="Courier New" w:hint="default"/>
      </w:rPr>
    </w:lvl>
    <w:lvl w:ilvl="2" w:tplc="08090005" w:tentative="1">
      <w:start w:val="1"/>
      <w:numFmt w:val="bullet"/>
      <w:lvlText w:val=""/>
      <w:lvlJc w:val="left"/>
      <w:pPr>
        <w:ind w:left="5820" w:hanging="360"/>
      </w:pPr>
      <w:rPr>
        <w:rFonts w:ascii="Wingdings" w:hAnsi="Wingdings" w:hint="default"/>
      </w:rPr>
    </w:lvl>
    <w:lvl w:ilvl="3" w:tplc="08090001" w:tentative="1">
      <w:start w:val="1"/>
      <w:numFmt w:val="bullet"/>
      <w:lvlText w:val=""/>
      <w:lvlJc w:val="left"/>
      <w:pPr>
        <w:ind w:left="6540" w:hanging="360"/>
      </w:pPr>
      <w:rPr>
        <w:rFonts w:ascii="Symbol" w:hAnsi="Symbol" w:hint="default"/>
      </w:rPr>
    </w:lvl>
    <w:lvl w:ilvl="4" w:tplc="08090003" w:tentative="1">
      <w:start w:val="1"/>
      <w:numFmt w:val="bullet"/>
      <w:lvlText w:val="o"/>
      <w:lvlJc w:val="left"/>
      <w:pPr>
        <w:ind w:left="7260" w:hanging="360"/>
      </w:pPr>
      <w:rPr>
        <w:rFonts w:ascii="Courier New" w:hAnsi="Courier New" w:cs="Courier New" w:hint="default"/>
      </w:rPr>
    </w:lvl>
    <w:lvl w:ilvl="5" w:tplc="08090005" w:tentative="1">
      <w:start w:val="1"/>
      <w:numFmt w:val="bullet"/>
      <w:lvlText w:val=""/>
      <w:lvlJc w:val="left"/>
      <w:pPr>
        <w:ind w:left="7980" w:hanging="360"/>
      </w:pPr>
      <w:rPr>
        <w:rFonts w:ascii="Wingdings" w:hAnsi="Wingdings" w:hint="default"/>
      </w:rPr>
    </w:lvl>
    <w:lvl w:ilvl="6" w:tplc="08090001" w:tentative="1">
      <w:start w:val="1"/>
      <w:numFmt w:val="bullet"/>
      <w:lvlText w:val=""/>
      <w:lvlJc w:val="left"/>
      <w:pPr>
        <w:ind w:left="8700" w:hanging="360"/>
      </w:pPr>
      <w:rPr>
        <w:rFonts w:ascii="Symbol" w:hAnsi="Symbol" w:hint="default"/>
      </w:rPr>
    </w:lvl>
    <w:lvl w:ilvl="7" w:tplc="08090003" w:tentative="1">
      <w:start w:val="1"/>
      <w:numFmt w:val="bullet"/>
      <w:lvlText w:val="o"/>
      <w:lvlJc w:val="left"/>
      <w:pPr>
        <w:ind w:left="9420" w:hanging="360"/>
      </w:pPr>
      <w:rPr>
        <w:rFonts w:ascii="Courier New" w:hAnsi="Courier New" w:cs="Courier New" w:hint="default"/>
      </w:rPr>
    </w:lvl>
    <w:lvl w:ilvl="8" w:tplc="08090005" w:tentative="1">
      <w:start w:val="1"/>
      <w:numFmt w:val="bullet"/>
      <w:lvlText w:val=""/>
      <w:lvlJc w:val="left"/>
      <w:pPr>
        <w:ind w:left="10140" w:hanging="360"/>
      </w:pPr>
      <w:rPr>
        <w:rFonts w:ascii="Wingdings" w:hAnsi="Wingdings" w:hint="default"/>
      </w:rPr>
    </w:lvl>
  </w:abstractNum>
  <w:abstractNum w:abstractNumId="6" w15:restartNumberingAfterBreak="0">
    <w:nsid w:val="3593087E"/>
    <w:multiLevelType w:val="hybridMultilevel"/>
    <w:tmpl w:val="F9A82FF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69F3B75"/>
    <w:multiLevelType w:val="hybridMultilevel"/>
    <w:tmpl w:val="51C4587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3A691499"/>
    <w:multiLevelType w:val="hybridMultilevel"/>
    <w:tmpl w:val="B230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82C1B"/>
    <w:multiLevelType w:val="hybridMultilevel"/>
    <w:tmpl w:val="9A12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71C6C"/>
    <w:multiLevelType w:val="hybridMultilevel"/>
    <w:tmpl w:val="D968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E560F"/>
    <w:multiLevelType w:val="hybridMultilevel"/>
    <w:tmpl w:val="70502CD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5AAB191D"/>
    <w:multiLevelType w:val="hybridMultilevel"/>
    <w:tmpl w:val="6CDE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60B973DF"/>
    <w:multiLevelType w:val="hybridMultilevel"/>
    <w:tmpl w:val="234A2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2C1161"/>
    <w:multiLevelType w:val="singleLevel"/>
    <w:tmpl w:val="8946CF6E"/>
    <w:lvl w:ilvl="0">
      <w:start w:val="1"/>
      <w:numFmt w:val="bullet"/>
      <w:pStyle w:val="Bulletted"/>
      <w:lvlText w:val=""/>
      <w:lvlJc w:val="left"/>
      <w:pPr>
        <w:tabs>
          <w:tab w:val="num" w:pos="1440"/>
        </w:tabs>
        <w:ind w:left="1440" w:hanging="360"/>
      </w:pPr>
      <w:rPr>
        <w:rFonts w:ascii="Symbol" w:hAnsi="Symbol" w:hint="default"/>
      </w:rPr>
    </w:lvl>
  </w:abstractNum>
  <w:abstractNum w:abstractNumId="16" w15:restartNumberingAfterBreak="0">
    <w:nsid w:val="664E1278"/>
    <w:multiLevelType w:val="hybridMultilevel"/>
    <w:tmpl w:val="66FC3B1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7" w15:restartNumberingAfterBreak="0">
    <w:nsid w:val="794F3009"/>
    <w:multiLevelType w:val="hybridMultilevel"/>
    <w:tmpl w:val="165C3F22"/>
    <w:lvl w:ilvl="0" w:tplc="71703E9C">
      <w:start w:val="1"/>
      <w:numFmt w:val="bullet"/>
      <w:pStyle w:val="ListParagraph"/>
      <w:lvlText w:val=""/>
      <w:lvlJc w:val="left"/>
      <w:pPr>
        <w:ind w:left="1211" w:hanging="360"/>
      </w:pPr>
      <w:rPr>
        <w:rFonts w:ascii="Symbol" w:hAnsi="Symbol" w:hint="default"/>
      </w:rPr>
    </w:lvl>
    <w:lvl w:ilvl="1" w:tplc="CB38D688">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7D410B75"/>
    <w:multiLevelType w:val="hybridMultilevel"/>
    <w:tmpl w:val="8FA0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1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num>
  <w:num w:numId="11">
    <w:abstractNumId w:val="9"/>
  </w:num>
  <w:num w:numId="12">
    <w:abstractNumId w:val="17"/>
  </w:num>
  <w:num w:numId="13">
    <w:abstractNumId w:val="12"/>
  </w:num>
  <w:num w:numId="14">
    <w:abstractNumId w:val="10"/>
  </w:num>
  <w:num w:numId="15">
    <w:abstractNumId w:val="14"/>
  </w:num>
  <w:num w:numId="16">
    <w:abstractNumId w:val="1"/>
  </w:num>
  <w:num w:numId="17">
    <w:abstractNumId w:val="11"/>
  </w:num>
  <w:num w:numId="18">
    <w:abstractNumId w:val="8"/>
  </w:num>
  <w:num w:numId="19">
    <w:abstractNumId w:val="7"/>
  </w:num>
  <w:num w:numId="20">
    <w:abstractNumId w:val="5"/>
  </w:num>
  <w:num w:numId="21">
    <w:abstractNumId w:val="6"/>
  </w:num>
  <w:num w:numId="22">
    <w:abstractNumId w:val="4"/>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B2A14E5-85A7-4CA7-BDDE-A3A11355AE5C}"/>
    <w:docVar w:name="dgnword-eventsink" w:val="307736176"/>
  </w:docVars>
  <w:rsids>
    <w:rsidRoot w:val="003B57EE"/>
    <w:rsid w:val="00000007"/>
    <w:rsid w:val="00000CAF"/>
    <w:rsid w:val="00002C05"/>
    <w:rsid w:val="00005FC0"/>
    <w:rsid w:val="0000689C"/>
    <w:rsid w:val="000118CB"/>
    <w:rsid w:val="00011BE5"/>
    <w:rsid w:val="00011D05"/>
    <w:rsid w:val="00011F25"/>
    <w:rsid w:val="00013214"/>
    <w:rsid w:val="0001363C"/>
    <w:rsid w:val="000140B9"/>
    <w:rsid w:val="000145C7"/>
    <w:rsid w:val="00014AEF"/>
    <w:rsid w:val="00014B32"/>
    <w:rsid w:val="000171E0"/>
    <w:rsid w:val="00017509"/>
    <w:rsid w:val="00021349"/>
    <w:rsid w:val="00021404"/>
    <w:rsid w:val="00022646"/>
    <w:rsid w:val="00022918"/>
    <w:rsid w:val="0002413C"/>
    <w:rsid w:val="000248BF"/>
    <w:rsid w:val="00026975"/>
    <w:rsid w:val="00026D59"/>
    <w:rsid w:val="00026F72"/>
    <w:rsid w:val="000278F7"/>
    <w:rsid w:val="000300B0"/>
    <w:rsid w:val="0003098E"/>
    <w:rsid w:val="00031424"/>
    <w:rsid w:val="00031DB2"/>
    <w:rsid w:val="0003243A"/>
    <w:rsid w:val="00033CDC"/>
    <w:rsid w:val="00034C4F"/>
    <w:rsid w:val="00035748"/>
    <w:rsid w:val="000364D5"/>
    <w:rsid w:val="00041104"/>
    <w:rsid w:val="00041272"/>
    <w:rsid w:val="00041444"/>
    <w:rsid w:val="000416B0"/>
    <w:rsid w:val="00041C97"/>
    <w:rsid w:val="00042A1B"/>
    <w:rsid w:val="00043699"/>
    <w:rsid w:val="000439D1"/>
    <w:rsid w:val="0004404B"/>
    <w:rsid w:val="00044175"/>
    <w:rsid w:val="000451C1"/>
    <w:rsid w:val="00046DA3"/>
    <w:rsid w:val="00047882"/>
    <w:rsid w:val="0005163F"/>
    <w:rsid w:val="00051DEA"/>
    <w:rsid w:val="0005237D"/>
    <w:rsid w:val="0005279D"/>
    <w:rsid w:val="00052A39"/>
    <w:rsid w:val="00052DD5"/>
    <w:rsid w:val="000532FC"/>
    <w:rsid w:val="00053690"/>
    <w:rsid w:val="000543D8"/>
    <w:rsid w:val="00054C8F"/>
    <w:rsid w:val="000550DB"/>
    <w:rsid w:val="00055B39"/>
    <w:rsid w:val="0005636A"/>
    <w:rsid w:val="000607CB"/>
    <w:rsid w:val="00061460"/>
    <w:rsid w:val="000615CC"/>
    <w:rsid w:val="00062D7C"/>
    <w:rsid w:val="00063E94"/>
    <w:rsid w:val="00064C18"/>
    <w:rsid w:val="00066774"/>
    <w:rsid w:val="00066F9D"/>
    <w:rsid w:val="000707E7"/>
    <w:rsid w:val="00070D8F"/>
    <w:rsid w:val="0007440B"/>
    <w:rsid w:val="00074ADC"/>
    <w:rsid w:val="00074D5D"/>
    <w:rsid w:val="00077B92"/>
    <w:rsid w:val="00080381"/>
    <w:rsid w:val="00080A86"/>
    <w:rsid w:val="00081E8E"/>
    <w:rsid w:val="0008217D"/>
    <w:rsid w:val="00083AB4"/>
    <w:rsid w:val="00086FC2"/>
    <w:rsid w:val="00087657"/>
    <w:rsid w:val="00090E83"/>
    <w:rsid w:val="00091414"/>
    <w:rsid w:val="000923BE"/>
    <w:rsid w:val="00093C9D"/>
    <w:rsid w:val="000955B0"/>
    <w:rsid w:val="0009589D"/>
    <w:rsid w:val="00096371"/>
    <w:rsid w:val="00097D9D"/>
    <w:rsid w:val="000A1676"/>
    <w:rsid w:val="000A17F2"/>
    <w:rsid w:val="000A1A8B"/>
    <w:rsid w:val="000A1E7B"/>
    <w:rsid w:val="000A2658"/>
    <w:rsid w:val="000A269F"/>
    <w:rsid w:val="000A2C34"/>
    <w:rsid w:val="000A3538"/>
    <w:rsid w:val="000A36B3"/>
    <w:rsid w:val="000A3842"/>
    <w:rsid w:val="000A3A22"/>
    <w:rsid w:val="000A76B7"/>
    <w:rsid w:val="000B0084"/>
    <w:rsid w:val="000B194E"/>
    <w:rsid w:val="000B56F5"/>
    <w:rsid w:val="000B6632"/>
    <w:rsid w:val="000B73D7"/>
    <w:rsid w:val="000C0EBE"/>
    <w:rsid w:val="000C5672"/>
    <w:rsid w:val="000C64BE"/>
    <w:rsid w:val="000C675E"/>
    <w:rsid w:val="000C6939"/>
    <w:rsid w:val="000C6A36"/>
    <w:rsid w:val="000C755E"/>
    <w:rsid w:val="000C7AF3"/>
    <w:rsid w:val="000D1C96"/>
    <w:rsid w:val="000D25B1"/>
    <w:rsid w:val="000D2D0C"/>
    <w:rsid w:val="000D4041"/>
    <w:rsid w:val="000D544D"/>
    <w:rsid w:val="000D5CE4"/>
    <w:rsid w:val="000E0BB0"/>
    <w:rsid w:val="000E0FEC"/>
    <w:rsid w:val="000E184D"/>
    <w:rsid w:val="000E3776"/>
    <w:rsid w:val="000E3975"/>
    <w:rsid w:val="000E3C79"/>
    <w:rsid w:val="000E3F37"/>
    <w:rsid w:val="000E4209"/>
    <w:rsid w:val="000E454C"/>
    <w:rsid w:val="000E4ECD"/>
    <w:rsid w:val="000E69DF"/>
    <w:rsid w:val="000E7114"/>
    <w:rsid w:val="000E76FD"/>
    <w:rsid w:val="000F0047"/>
    <w:rsid w:val="000F0808"/>
    <w:rsid w:val="000F4B48"/>
    <w:rsid w:val="000F6677"/>
    <w:rsid w:val="000F6E70"/>
    <w:rsid w:val="000F70FF"/>
    <w:rsid w:val="000F7242"/>
    <w:rsid w:val="00100882"/>
    <w:rsid w:val="0010117D"/>
    <w:rsid w:val="00102DB1"/>
    <w:rsid w:val="001031AE"/>
    <w:rsid w:val="00104A3C"/>
    <w:rsid w:val="00104DD6"/>
    <w:rsid w:val="00105EA9"/>
    <w:rsid w:val="00105FAB"/>
    <w:rsid w:val="00106D3E"/>
    <w:rsid w:val="00107502"/>
    <w:rsid w:val="00107814"/>
    <w:rsid w:val="00112376"/>
    <w:rsid w:val="00112A57"/>
    <w:rsid w:val="00112E7F"/>
    <w:rsid w:val="00114359"/>
    <w:rsid w:val="00114FE3"/>
    <w:rsid w:val="0011524F"/>
    <w:rsid w:val="001158E6"/>
    <w:rsid w:val="00115FC9"/>
    <w:rsid w:val="00116153"/>
    <w:rsid w:val="00116599"/>
    <w:rsid w:val="00116623"/>
    <w:rsid w:val="00117A1F"/>
    <w:rsid w:val="00117E4B"/>
    <w:rsid w:val="00120077"/>
    <w:rsid w:val="00120A26"/>
    <w:rsid w:val="00120B42"/>
    <w:rsid w:val="00120DF4"/>
    <w:rsid w:val="00120F9D"/>
    <w:rsid w:val="00121BC1"/>
    <w:rsid w:val="0012232A"/>
    <w:rsid w:val="00123957"/>
    <w:rsid w:val="00124546"/>
    <w:rsid w:val="00127D44"/>
    <w:rsid w:val="0013037E"/>
    <w:rsid w:val="0013046E"/>
    <w:rsid w:val="001312E5"/>
    <w:rsid w:val="00131D6F"/>
    <w:rsid w:val="00131EEC"/>
    <w:rsid w:val="0013591E"/>
    <w:rsid w:val="001401E3"/>
    <w:rsid w:val="001405B3"/>
    <w:rsid w:val="00140BD5"/>
    <w:rsid w:val="00142333"/>
    <w:rsid w:val="00142A39"/>
    <w:rsid w:val="00142EC6"/>
    <w:rsid w:val="001472B1"/>
    <w:rsid w:val="0014740F"/>
    <w:rsid w:val="00150BA8"/>
    <w:rsid w:val="00151445"/>
    <w:rsid w:val="0015267F"/>
    <w:rsid w:val="00152D2E"/>
    <w:rsid w:val="00153C08"/>
    <w:rsid w:val="00153FB6"/>
    <w:rsid w:val="00154388"/>
    <w:rsid w:val="00154614"/>
    <w:rsid w:val="00154D21"/>
    <w:rsid w:val="001558A5"/>
    <w:rsid w:val="00156371"/>
    <w:rsid w:val="001565F9"/>
    <w:rsid w:val="00157096"/>
    <w:rsid w:val="0015730C"/>
    <w:rsid w:val="001573C0"/>
    <w:rsid w:val="00161E05"/>
    <w:rsid w:val="001621D6"/>
    <w:rsid w:val="00162418"/>
    <w:rsid w:val="001625E5"/>
    <w:rsid w:val="00162984"/>
    <w:rsid w:val="001635F1"/>
    <w:rsid w:val="001636CD"/>
    <w:rsid w:val="00164BC7"/>
    <w:rsid w:val="00165067"/>
    <w:rsid w:val="0016536A"/>
    <w:rsid w:val="001665D8"/>
    <w:rsid w:val="00167373"/>
    <w:rsid w:val="0017170A"/>
    <w:rsid w:val="001724EA"/>
    <w:rsid w:val="00173204"/>
    <w:rsid w:val="00174929"/>
    <w:rsid w:val="00174DE7"/>
    <w:rsid w:val="00175168"/>
    <w:rsid w:val="001753EB"/>
    <w:rsid w:val="001758B5"/>
    <w:rsid w:val="0017628E"/>
    <w:rsid w:val="001766DB"/>
    <w:rsid w:val="001767E2"/>
    <w:rsid w:val="001769B9"/>
    <w:rsid w:val="00181896"/>
    <w:rsid w:val="00182DC9"/>
    <w:rsid w:val="00183684"/>
    <w:rsid w:val="001843BD"/>
    <w:rsid w:val="001847C8"/>
    <w:rsid w:val="001849AD"/>
    <w:rsid w:val="001851F5"/>
    <w:rsid w:val="00186F51"/>
    <w:rsid w:val="001875E9"/>
    <w:rsid w:val="00187724"/>
    <w:rsid w:val="00187729"/>
    <w:rsid w:val="00187C88"/>
    <w:rsid w:val="00187EF9"/>
    <w:rsid w:val="0019190C"/>
    <w:rsid w:val="00192E26"/>
    <w:rsid w:val="001939F3"/>
    <w:rsid w:val="0019437A"/>
    <w:rsid w:val="00194B4A"/>
    <w:rsid w:val="00194F5B"/>
    <w:rsid w:val="00196730"/>
    <w:rsid w:val="00196AE8"/>
    <w:rsid w:val="00196D26"/>
    <w:rsid w:val="00197C2C"/>
    <w:rsid w:val="001A0FE6"/>
    <w:rsid w:val="001A158A"/>
    <w:rsid w:val="001A159A"/>
    <w:rsid w:val="001A188C"/>
    <w:rsid w:val="001A2259"/>
    <w:rsid w:val="001A3D63"/>
    <w:rsid w:val="001A5015"/>
    <w:rsid w:val="001A5381"/>
    <w:rsid w:val="001A5638"/>
    <w:rsid w:val="001A57CB"/>
    <w:rsid w:val="001A6318"/>
    <w:rsid w:val="001A6566"/>
    <w:rsid w:val="001A6AD8"/>
    <w:rsid w:val="001A71F7"/>
    <w:rsid w:val="001A7D23"/>
    <w:rsid w:val="001A7D3A"/>
    <w:rsid w:val="001B500B"/>
    <w:rsid w:val="001B5C4E"/>
    <w:rsid w:val="001B659C"/>
    <w:rsid w:val="001B678E"/>
    <w:rsid w:val="001B68C5"/>
    <w:rsid w:val="001B6BDE"/>
    <w:rsid w:val="001B6E6C"/>
    <w:rsid w:val="001B7010"/>
    <w:rsid w:val="001C007E"/>
    <w:rsid w:val="001C0F4C"/>
    <w:rsid w:val="001C181F"/>
    <w:rsid w:val="001C18B7"/>
    <w:rsid w:val="001C2333"/>
    <w:rsid w:val="001C2A88"/>
    <w:rsid w:val="001C2E29"/>
    <w:rsid w:val="001C365A"/>
    <w:rsid w:val="001C4967"/>
    <w:rsid w:val="001C5050"/>
    <w:rsid w:val="001D0DDB"/>
    <w:rsid w:val="001D22F8"/>
    <w:rsid w:val="001D2DA9"/>
    <w:rsid w:val="001D2DD6"/>
    <w:rsid w:val="001D33D8"/>
    <w:rsid w:val="001D3E03"/>
    <w:rsid w:val="001D4DAC"/>
    <w:rsid w:val="001D52D0"/>
    <w:rsid w:val="001D532A"/>
    <w:rsid w:val="001D758D"/>
    <w:rsid w:val="001D784B"/>
    <w:rsid w:val="001E01D1"/>
    <w:rsid w:val="001E0BBE"/>
    <w:rsid w:val="001E19AE"/>
    <w:rsid w:val="001E2AAE"/>
    <w:rsid w:val="001E30FA"/>
    <w:rsid w:val="001E3E6E"/>
    <w:rsid w:val="001E40A7"/>
    <w:rsid w:val="001E4994"/>
    <w:rsid w:val="001E53D4"/>
    <w:rsid w:val="001E5BE0"/>
    <w:rsid w:val="001E66EA"/>
    <w:rsid w:val="001E6CAC"/>
    <w:rsid w:val="001E7341"/>
    <w:rsid w:val="001E77CB"/>
    <w:rsid w:val="001F03AF"/>
    <w:rsid w:val="001F2456"/>
    <w:rsid w:val="001F352E"/>
    <w:rsid w:val="001F3798"/>
    <w:rsid w:val="001F38B6"/>
    <w:rsid w:val="001F3D8D"/>
    <w:rsid w:val="001F3F35"/>
    <w:rsid w:val="001F436B"/>
    <w:rsid w:val="001F53DF"/>
    <w:rsid w:val="001F5C3C"/>
    <w:rsid w:val="001F5C71"/>
    <w:rsid w:val="001F6183"/>
    <w:rsid w:val="0020025B"/>
    <w:rsid w:val="00200590"/>
    <w:rsid w:val="00200B6B"/>
    <w:rsid w:val="00203D79"/>
    <w:rsid w:val="00204732"/>
    <w:rsid w:val="00204B67"/>
    <w:rsid w:val="002052BF"/>
    <w:rsid w:val="00207091"/>
    <w:rsid w:val="002071C7"/>
    <w:rsid w:val="0021153B"/>
    <w:rsid w:val="002123F6"/>
    <w:rsid w:val="00212A3F"/>
    <w:rsid w:val="0021332C"/>
    <w:rsid w:val="00214C20"/>
    <w:rsid w:val="002166F3"/>
    <w:rsid w:val="00216F8D"/>
    <w:rsid w:val="002202C3"/>
    <w:rsid w:val="00221B7E"/>
    <w:rsid w:val="00222315"/>
    <w:rsid w:val="00222A3E"/>
    <w:rsid w:val="002238E9"/>
    <w:rsid w:val="002245A5"/>
    <w:rsid w:val="002251E8"/>
    <w:rsid w:val="002264A2"/>
    <w:rsid w:val="00226ABE"/>
    <w:rsid w:val="00226FB5"/>
    <w:rsid w:val="00227456"/>
    <w:rsid w:val="00230D7F"/>
    <w:rsid w:val="00231BDD"/>
    <w:rsid w:val="00233E35"/>
    <w:rsid w:val="0023671B"/>
    <w:rsid w:val="00240311"/>
    <w:rsid w:val="00240B20"/>
    <w:rsid w:val="00240B84"/>
    <w:rsid w:val="002413E9"/>
    <w:rsid w:val="00241C27"/>
    <w:rsid w:val="002423C5"/>
    <w:rsid w:val="00242792"/>
    <w:rsid w:val="00242D70"/>
    <w:rsid w:val="00246C71"/>
    <w:rsid w:val="002476C7"/>
    <w:rsid w:val="00250757"/>
    <w:rsid w:val="00251487"/>
    <w:rsid w:val="002517BF"/>
    <w:rsid w:val="0025197B"/>
    <w:rsid w:val="0025296F"/>
    <w:rsid w:val="00252A8C"/>
    <w:rsid w:val="00252BED"/>
    <w:rsid w:val="00253F4E"/>
    <w:rsid w:val="0025577F"/>
    <w:rsid w:val="00256C43"/>
    <w:rsid w:val="00256D28"/>
    <w:rsid w:val="002572D9"/>
    <w:rsid w:val="00257A8D"/>
    <w:rsid w:val="00260107"/>
    <w:rsid w:val="002603F3"/>
    <w:rsid w:val="00260732"/>
    <w:rsid w:val="00260BDF"/>
    <w:rsid w:val="00261C29"/>
    <w:rsid w:val="00261F54"/>
    <w:rsid w:val="00262226"/>
    <w:rsid w:val="002627C5"/>
    <w:rsid w:val="0026281E"/>
    <w:rsid w:val="002633FE"/>
    <w:rsid w:val="00264237"/>
    <w:rsid w:val="0026447E"/>
    <w:rsid w:val="00264589"/>
    <w:rsid w:val="0026639E"/>
    <w:rsid w:val="00267094"/>
    <w:rsid w:val="00267C91"/>
    <w:rsid w:val="00270525"/>
    <w:rsid w:val="00270A5A"/>
    <w:rsid w:val="0027123C"/>
    <w:rsid w:val="00271B16"/>
    <w:rsid w:val="00272AA1"/>
    <w:rsid w:val="00272D63"/>
    <w:rsid w:val="00274438"/>
    <w:rsid w:val="00277510"/>
    <w:rsid w:val="00280125"/>
    <w:rsid w:val="00280440"/>
    <w:rsid w:val="0028234F"/>
    <w:rsid w:val="002823B4"/>
    <w:rsid w:val="00283ABC"/>
    <w:rsid w:val="00283E1C"/>
    <w:rsid w:val="002850A1"/>
    <w:rsid w:val="00285484"/>
    <w:rsid w:val="00285F11"/>
    <w:rsid w:val="00286E2C"/>
    <w:rsid w:val="00290030"/>
    <w:rsid w:val="00292215"/>
    <w:rsid w:val="0029294E"/>
    <w:rsid w:val="0029386F"/>
    <w:rsid w:val="00294316"/>
    <w:rsid w:val="002953EA"/>
    <w:rsid w:val="00296B59"/>
    <w:rsid w:val="00296DA0"/>
    <w:rsid w:val="00297471"/>
    <w:rsid w:val="00297906"/>
    <w:rsid w:val="00297A09"/>
    <w:rsid w:val="002A0A93"/>
    <w:rsid w:val="002A11AB"/>
    <w:rsid w:val="002A1D73"/>
    <w:rsid w:val="002A2647"/>
    <w:rsid w:val="002A360A"/>
    <w:rsid w:val="002A41F9"/>
    <w:rsid w:val="002A4347"/>
    <w:rsid w:val="002A47C7"/>
    <w:rsid w:val="002A4AD4"/>
    <w:rsid w:val="002A5D0A"/>
    <w:rsid w:val="002A7146"/>
    <w:rsid w:val="002A7BD4"/>
    <w:rsid w:val="002B03E1"/>
    <w:rsid w:val="002B0651"/>
    <w:rsid w:val="002B16E5"/>
    <w:rsid w:val="002B1992"/>
    <w:rsid w:val="002B3724"/>
    <w:rsid w:val="002B407F"/>
    <w:rsid w:val="002B5101"/>
    <w:rsid w:val="002B5656"/>
    <w:rsid w:val="002B591D"/>
    <w:rsid w:val="002B728A"/>
    <w:rsid w:val="002C38D3"/>
    <w:rsid w:val="002C4000"/>
    <w:rsid w:val="002C47D0"/>
    <w:rsid w:val="002C7B81"/>
    <w:rsid w:val="002D03C2"/>
    <w:rsid w:val="002D0843"/>
    <w:rsid w:val="002D1238"/>
    <w:rsid w:val="002D1E1C"/>
    <w:rsid w:val="002D2238"/>
    <w:rsid w:val="002D4600"/>
    <w:rsid w:val="002D50DC"/>
    <w:rsid w:val="002D550F"/>
    <w:rsid w:val="002D5A56"/>
    <w:rsid w:val="002D6968"/>
    <w:rsid w:val="002D76F6"/>
    <w:rsid w:val="002E0B03"/>
    <w:rsid w:val="002E3421"/>
    <w:rsid w:val="002E413C"/>
    <w:rsid w:val="002E42BC"/>
    <w:rsid w:val="002E4B1C"/>
    <w:rsid w:val="002E4CDD"/>
    <w:rsid w:val="002E5F64"/>
    <w:rsid w:val="002E6758"/>
    <w:rsid w:val="002E7255"/>
    <w:rsid w:val="002E7AE2"/>
    <w:rsid w:val="002E7B5B"/>
    <w:rsid w:val="002F10B2"/>
    <w:rsid w:val="002F3E90"/>
    <w:rsid w:val="002F4B6F"/>
    <w:rsid w:val="002F5F88"/>
    <w:rsid w:val="002F613E"/>
    <w:rsid w:val="00302237"/>
    <w:rsid w:val="00303500"/>
    <w:rsid w:val="00303B40"/>
    <w:rsid w:val="00303C10"/>
    <w:rsid w:val="00305744"/>
    <w:rsid w:val="00307E92"/>
    <w:rsid w:val="003102A1"/>
    <w:rsid w:val="003103E9"/>
    <w:rsid w:val="0031055B"/>
    <w:rsid w:val="003110F6"/>
    <w:rsid w:val="00311B65"/>
    <w:rsid w:val="00313BA6"/>
    <w:rsid w:val="00314926"/>
    <w:rsid w:val="00314BB6"/>
    <w:rsid w:val="003151CD"/>
    <w:rsid w:val="00315A09"/>
    <w:rsid w:val="00316C33"/>
    <w:rsid w:val="003171D9"/>
    <w:rsid w:val="003175D1"/>
    <w:rsid w:val="003216B5"/>
    <w:rsid w:val="00324555"/>
    <w:rsid w:val="0032583B"/>
    <w:rsid w:val="00326E2E"/>
    <w:rsid w:val="0032763E"/>
    <w:rsid w:val="003314FB"/>
    <w:rsid w:val="00332897"/>
    <w:rsid w:val="00335797"/>
    <w:rsid w:val="00335AFD"/>
    <w:rsid w:val="00337926"/>
    <w:rsid w:val="00340391"/>
    <w:rsid w:val="00341A6B"/>
    <w:rsid w:val="003422A6"/>
    <w:rsid w:val="00345694"/>
    <w:rsid w:val="00345AB2"/>
    <w:rsid w:val="00346ED8"/>
    <w:rsid w:val="003470D5"/>
    <w:rsid w:val="00347A96"/>
    <w:rsid w:val="00354884"/>
    <w:rsid w:val="003567D3"/>
    <w:rsid w:val="00356B5F"/>
    <w:rsid w:val="00357097"/>
    <w:rsid w:val="00357F4A"/>
    <w:rsid w:val="00362D5E"/>
    <w:rsid w:val="003678E9"/>
    <w:rsid w:val="003707F5"/>
    <w:rsid w:val="003708B7"/>
    <w:rsid w:val="0037369A"/>
    <w:rsid w:val="0037377F"/>
    <w:rsid w:val="00373FA9"/>
    <w:rsid w:val="003760C3"/>
    <w:rsid w:val="00376D9E"/>
    <w:rsid w:val="00377A53"/>
    <w:rsid w:val="00377E19"/>
    <w:rsid w:val="00380585"/>
    <w:rsid w:val="0038158A"/>
    <w:rsid w:val="00382CC9"/>
    <w:rsid w:val="00386DBD"/>
    <w:rsid w:val="00387B10"/>
    <w:rsid w:val="00390897"/>
    <w:rsid w:val="003934B3"/>
    <w:rsid w:val="00393827"/>
    <w:rsid w:val="003951FC"/>
    <w:rsid w:val="00395642"/>
    <w:rsid w:val="00395EA6"/>
    <w:rsid w:val="0039610D"/>
    <w:rsid w:val="00396717"/>
    <w:rsid w:val="00396750"/>
    <w:rsid w:val="00397065"/>
    <w:rsid w:val="00397742"/>
    <w:rsid w:val="003A196F"/>
    <w:rsid w:val="003A23DC"/>
    <w:rsid w:val="003A23FA"/>
    <w:rsid w:val="003A27B4"/>
    <w:rsid w:val="003A3851"/>
    <w:rsid w:val="003A38F2"/>
    <w:rsid w:val="003A40EA"/>
    <w:rsid w:val="003A4C80"/>
    <w:rsid w:val="003A5C76"/>
    <w:rsid w:val="003A7D30"/>
    <w:rsid w:val="003B00EC"/>
    <w:rsid w:val="003B0D95"/>
    <w:rsid w:val="003B179F"/>
    <w:rsid w:val="003B1C02"/>
    <w:rsid w:val="003B48D0"/>
    <w:rsid w:val="003B4D3C"/>
    <w:rsid w:val="003B4FD5"/>
    <w:rsid w:val="003B57EE"/>
    <w:rsid w:val="003B6623"/>
    <w:rsid w:val="003B694A"/>
    <w:rsid w:val="003B7CC2"/>
    <w:rsid w:val="003C070E"/>
    <w:rsid w:val="003C0DEA"/>
    <w:rsid w:val="003C0E3B"/>
    <w:rsid w:val="003C14AC"/>
    <w:rsid w:val="003C3215"/>
    <w:rsid w:val="003C3953"/>
    <w:rsid w:val="003C4E54"/>
    <w:rsid w:val="003C62F2"/>
    <w:rsid w:val="003C79F1"/>
    <w:rsid w:val="003C7F12"/>
    <w:rsid w:val="003D060C"/>
    <w:rsid w:val="003D1025"/>
    <w:rsid w:val="003D1A59"/>
    <w:rsid w:val="003D1F09"/>
    <w:rsid w:val="003D33B4"/>
    <w:rsid w:val="003D450F"/>
    <w:rsid w:val="003D5C4A"/>
    <w:rsid w:val="003D6250"/>
    <w:rsid w:val="003E0105"/>
    <w:rsid w:val="003E0922"/>
    <w:rsid w:val="003E0A92"/>
    <w:rsid w:val="003E3EDB"/>
    <w:rsid w:val="003E7311"/>
    <w:rsid w:val="003E748F"/>
    <w:rsid w:val="003E78D7"/>
    <w:rsid w:val="003F331B"/>
    <w:rsid w:val="003F358B"/>
    <w:rsid w:val="003F5746"/>
    <w:rsid w:val="003F6227"/>
    <w:rsid w:val="00400394"/>
    <w:rsid w:val="00402DFC"/>
    <w:rsid w:val="004039C1"/>
    <w:rsid w:val="00404BFB"/>
    <w:rsid w:val="00404E55"/>
    <w:rsid w:val="00407ED1"/>
    <w:rsid w:val="004112AC"/>
    <w:rsid w:val="004115A3"/>
    <w:rsid w:val="00412267"/>
    <w:rsid w:val="004125C2"/>
    <w:rsid w:val="00413D9C"/>
    <w:rsid w:val="00414AFB"/>
    <w:rsid w:val="0041502E"/>
    <w:rsid w:val="0041571F"/>
    <w:rsid w:val="00415809"/>
    <w:rsid w:val="00416A7A"/>
    <w:rsid w:val="00417193"/>
    <w:rsid w:val="004212E1"/>
    <w:rsid w:val="00422FD5"/>
    <w:rsid w:val="004232F9"/>
    <w:rsid w:val="00425F0A"/>
    <w:rsid w:val="004267D4"/>
    <w:rsid w:val="00430E9A"/>
    <w:rsid w:val="00430F49"/>
    <w:rsid w:val="00430FBF"/>
    <w:rsid w:val="0043122F"/>
    <w:rsid w:val="004314A6"/>
    <w:rsid w:val="004314DD"/>
    <w:rsid w:val="00433080"/>
    <w:rsid w:val="004404A2"/>
    <w:rsid w:val="004416A6"/>
    <w:rsid w:val="00441E0F"/>
    <w:rsid w:val="00442991"/>
    <w:rsid w:val="004429D9"/>
    <w:rsid w:val="0044429F"/>
    <w:rsid w:val="00444350"/>
    <w:rsid w:val="00444A2B"/>
    <w:rsid w:val="00445AB8"/>
    <w:rsid w:val="00445D33"/>
    <w:rsid w:val="00445F7C"/>
    <w:rsid w:val="00447B0B"/>
    <w:rsid w:val="004503B1"/>
    <w:rsid w:val="004529D3"/>
    <w:rsid w:val="004545BC"/>
    <w:rsid w:val="00455043"/>
    <w:rsid w:val="004550DF"/>
    <w:rsid w:val="004571FD"/>
    <w:rsid w:val="00457227"/>
    <w:rsid w:val="00457850"/>
    <w:rsid w:val="00457B96"/>
    <w:rsid w:val="00461219"/>
    <w:rsid w:val="0046124D"/>
    <w:rsid w:val="004621AA"/>
    <w:rsid w:val="0046383F"/>
    <w:rsid w:val="00463DE1"/>
    <w:rsid w:val="004650A1"/>
    <w:rsid w:val="00465439"/>
    <w:rsid w:val="00466826"/>
    <w:rsid w:val="00467A36"/>
    <w:rsid w:val="004701EF"/>
    <w:rsid w:val="00470481"/>
    <w:rsid w:val="00473914"/>
    <w:rsid w:val="00473D92"/>
    <w:rsid w:val="004748C2"/>
    <w:rsid w:val="004748C8"/>
    <w:rsid w:val="00474E2B"/>
    <w:rsid w:val="00476512"/>
    <w:rsid w:val="00477E2F"/>
    <w:rsid w:val="0048153F"/>
    <w:rsid w:val="00481750"/>
    <w:rsid w:val="00481ABC"/>
    <w:rsid w:val="0048233C"/>
    <w:rsid w:val="00482DBF"/>
    <w:rsid w:val="004835CD"/>
    <w:rsid w:val="0048389F"/>
    <w:rsid w:val="004838CA"/>
    <w:rsid w:val="0048425C"/>
    <w:rsid w:val="004842B0"/>
    <w:rsid w:val="00484510"/>
    <w:rsid w:val="0048483A"/>
    <w:rsid w:val="00484CA4"/>
    <w:rsid w:val="004850C9"/>
    <w:rsid w:val="00485F8E"/>
    <w:rsid w:val="0048717E"/>
    <w:rsid w:val="00491D5F"/>
    <w:rsid w:val="00492189"/>
    <w:rsid w:val="004921A3"/>
    <w:rsid w:val="004923F6"/>
    <w:rsid w:val="00494DC4"/>
    <w:rsid w:val="00495CAE"/>
    <w:rsid w:val="00497F69"/>
    <w:rsid w:val="004A1D45"/>
    <w:rsid w:val="004A206E"/>
    <w:rsid w:val="004A3034"/>
    <w:rsid w:val="004A3AA4"/>
    <w:rsid w:val="004A4089"/>
    <w:rsid w:val="004A4ECD"/>
    <w:rsid w:val="004A5A8A"/>
    <w:rsid w:val="004A7B1C"/>
    <w:rsid w:val="004B1654"/>
    <w:rsid w:val="004B32CF"/>
    <w:rsid w:val="004B41EF"/>
    <w:rsid w:val="004B59BD"/>
    <w:rsid w:val="004B5FC8"/>
    <w:rsid w:val="004B649F"/>
    <w:rsid w:val="004B67EF"/>
    <w:rsid w:val="004B7308"/>
    <w:rsid w:val="004B7AD1"/>
    <w:rsid w:val="004B7B00"/>
    <w:rsid w:val="004C08A4"/>
    <w:rsid w:val="004C0C72"/>
    <w:rsid w:val="004C12CE"/>
    <w:rsid w:val="004C1A6D"/>
    <w:rsid w:val="004C4132"/>
    <w:rsid w:val="004C51D3"/>
    <w:rsid w:val="004C7B53"/>
    <w:rsid w:val="004D003B"/>
    <w:rsid w:val="004D003F"/>
    <w:rsid w:val="004D055B"/>
    <w:rsid w:val="004D069B"/>
    <w:rsid w:val="004D194F"/>
    <w:rsid w:val="004D1A9F"/>
    <w:rsid w:val="004D2BC8"/>
    <w:rsid w:val="004D44D2"/>
    <w:rsid w:val="004D5744"/>
    <w:rsid w:val="004D60C3"/>
    <w:rsid w:val="004E0237"/>
    <w:rsid w:val="004E029D"/>
    <w:rsid w:val="004E0AC9"/>
    <w:rsid w:val="004E0D61"/>
    <w:rsid w:val="004E1AF7"/>
    <w:rsid w:val="004E22F9"/>
    <w:rsid w:val="004E37DE"/>
    <w:rsid w:val="004E4C5B"/>
    <w:rsid w:val="004E51F5"/>
    <w:rsid w:val="004E55B6"/>
    <w:rsid w:val="004E5F65"/>
    <w:rsid w:val="004E6DEB"/>
    <w:rsid w:val="004E707F"/>
    <w:rsid w:val="004E7A51"/>
    <w:rsid w:val="004E7DA5"/>
    <w:rsid w:val="004E7E8B"/>
    <w:rsid w:val="004F0169"/>
    <w:rsid w:val="004F094B"/>
    <w:rsid w:val="004F0C90"/>
    <w:rsid w:val="004F4968"/>
    <w:rsid w:val="004F4FB3"/>
    <w:rsid w:val="004F60D0"/>
    <w:rsid w:val="004F683F"/>
    <w:rsid w:val="004F7031"/>
    <w:rsid w:val="004F7BE9"/>
    <w:rsid w:val="00501042"/>
    <w:rsid w:val="005010BB"/>
    <w:rsid w:val="00501B1D"/>
    <w:rsid w:val="005028DD"/>
    <w:rsid w:val="0050303F"/>
    <w:rsid w:val="005039FB"/>
    <w:rsid w:val="00507E11"/>
    <w:rsid w:val="00507E7D"/>
    <w:rsid w:val="00512366"/>
    <w:rsid w:val="005130A8"/>
    <w:rsid w:val="00514915"/>
    <w:rsid w:val="005211FA"/>
    <w:rsid w:val="00522DD7"/>
    <w:rsid w:val="00523004"/>
    <w:rsid w:val="00524A9C"/>
    <w:rsid w:val="0052701F"/>
    <w:rsid w:val="005277E2"/>
    <w:rsid w:val="0053010A"/>
    <w:rsid w:val="005322DC"/>
    <w:rsid w:val="00532FEE"/>
    <w:rsid w:val="005353F7"/>
    <w:rsid w:val="00535642"/>
    <w:rsid w:val="005375CD"/>
    <w:rsid w:val="005377B2"/>
    <w:rsid w:val="00542229"/>
    <w:rsid w:val="005422F3"/>
    <w:rsid w:val="00542FE7"/>
    <w:rsid w:val="00545990"/>
    <w:rsid w:val="00547465"/>
    <w:rsid w:val="00547973"/>
    <w:rsid w:val="00547CDF"/>
    <w:rsid w:val="00550534"/>
    <w:rsid w:val="0055090A"/>
    <w:rsid w:val="00550D62"/>
    <w:rsid w:val="005526C9"/>
    <w:rsid w:val="00552868"/>
    <w:rsid w:val="00552EBE"/>
    <w:rsid w:val="00553C2C"/>
    <w:rsid w:val="00553C2D"/>
    <w:rsid w:val="005541C5"/>
    <w:rsid w:val="005551EE"/>
    <w:rsid w:val="00556663"/>
    <w:rsid w:val="00556908"/>
    <w:rsid w:val="00557C47"/>
    <w:rsid w:val="005604DC"/>
    <w:rsid w:val="005613C7"/>
    <w:rsid w:val="0056395F"/>
    <w:rsid w:val="00563D49"/>
    <w:rsid w:val="00564033"/>
    <w:rsid w:val="00564ACE"/>
    <w:rsid w:val="00565667"/>
    <w:rsid w:val="00565EFF"/>
    <w:rsid w:val="005669C6"/>
    <w:rsid w:val="005710D0"/>
    <w:rsid w:val="005734F8"/>
    <w:rsid w:val="00576682"/>
    <w:rsid w:val="005769C0"/>
    <w:rsid w:val="00576E45"/>
    <w:rsid w:val="00577B93"/>
    <w:rsid w:val="00580EFA"/>
    <w:rsid w:val="00581701"/>
    <w:rsid w:val="00582A83"/>
    <w:rsid w:val="00582CA2"/>
    <w:rsid w:val="00583296"/>
    <w:rsid w:val="00585413"/>
    <w:rsid w:val="00585F6B"/>
    <w:rsid w:val="0058645E"/>
    <w:rsid w:val="00586AFB"/>
    <w:rsid w:val="0059121B"/>
    <w:rsid w:val="00591257"/>
    <w:rsid w:val="00591271"/>
    <w:rsid w:val="00594CB5"/>
    <w:rsid w:val="005957F4"/>
    <w:rsid w:val="00595D3A"/>
    <w:rsid w:val="005964AD"/>
    <w:rsid w:val="005A0521"/>
    <w:rsid w:val="005A07D5"/>
    <w:rsid w:val="005A0FB0"/>
    <w:rsid w:val="005A1821"/>
    <w:rsid w:val="005A3668"/>
    <w:rsid w:val="005A44E9"/>
    <w:rsid w:val="005A4575"/>
    <w:rsid w:val="005A6BFF"/>
    <w:rsid w:val="005A7224"/>
    <w:rsid w:val="005A74F3"/>
    <w:rsid w:val="005B03AB"/>
    <w:rsid w:val="005B20E7"/>
    <w:rsid w:val="005B2268"/>
    <w:rsid w:val="005B2927"/>
    <w:rsid w:val="005B3ACA"/>
    <w:rsid w:val="005B3BF3"/>
    <w:rsid w:val="005B415E"/>
    <w:rsid w:val="005B4663"/>
    <w:rsid w:val="005B4EEA"/>
    <w:rsid w:val="005B4F38"/>
    <w:rsid w:val="005B51CE"/>
    <w:rsid w:val="005B534D"/>
    <w:rsid w:val="005C0C8B"/>
    <w:rsid w:val="005C137A"/>
    <w:rsid w:val="005C1566"/>
    <w:rsid w:val="005C3035"/>
    <w:rsid w:val="005C3289"/>
    <w:rsid w:val="005C4564"/>
    <w:rsid w:val="005C4F35"/>
    <w:rsid w:val="005D0E8D"/>
    <w:rsid w:val="005D1149"/>
    <w:rsid w:val="005D1571"/>
    <w:rsid w:val="005D2446"/>
    <w:rsid w:val="005D2EF5"/>
    <w:rsid w:val="005D3E23"/>
    <w:rsid w:val="005D48BA"/>
    <w:rsid w:val="005D521E"/>
    <w:rsid w:val="005D6260"/>
    <w:rsid w:val="005D643E"/>
    <w:rsid w:val="005D6574"/>
    <w:rsid w:val="005D679C"/>
    <w:rsid w:val="005D6DD4"/>
    <w:rsid w:val="005E03F4"/>
    <w:rsid w:val="005E048C"/>
    <w:rsid w:val="005E0787"/>
    <w:rsid w:val="005E0D80"/>
    <w:rsid w:val="005E11C3"/>
    <w:rsid w:val="005E2568"/>
    <w:rsid w:val="005E298B"/>
    <w:rsid w:val="005E2A69"/>
    <w:rsid w:val="005E2F5D"/>
    <w:rsid w:val="005E3850"/>
    <w:rsid w:val="005E3BE2"/>
    <w:rsid w:val="005E4CFE"/>
    <w:rsid w:val="005E4D3B"/>
    <w:rsid w:val="005F13B2"/>
    <w:rsid w:val="005F26D7"/>
    <w:rsid w:val="005F272C"/>
    <w:rsid w:val="005F27B2"/>
    <w:rsid w:val="005F343B"/>
    <w:rsid w:val="005F4E87"/>
    <w:rsid w:val="005F4EBB"/>
    <w:rsid w:val="005F7644"/>
    <w:rsid w:val="005F76A4"/>
    <w:rsid w:val="005F76B7"/>
    <w:rsid w:val="005F79CB"/>
    <w:rsid w:val="005F7AC0"/>
    <w:rsid w:val="005F7B4B"/>
    <w:rsid w:val="00600E5B"/>
    <w:rsid w:val="0060382E"/>
    <w:rsid w:val="00604AF6"/>
    <w:rsid w:val="006058C6"/>
    <w:rsid w:val="00606F1E"/>
    <w:rsid w:val="006074CF"/>
    <w:rsid w:val="00607E0A"/>
    <w:rsid w:val="0061087D"/>
    <w:rsid w:val="00611A37"/>
    <w:rsid w:val="0061241D"/>
    <w:rsid w:val="006126B0"/>
    <w:rsid w:val="006127F2"/>
    <w:rsid w:val="00613189"/>
    <w:rsid w:val="006138E8"/>
    <w:rsid w:val="00614BC6"/>
    <w:rsid w:val="006166FB"/>
    <w:rsid w:val="00617EE2"/>
    <w:rsid w:val="00621BF2"/>
    <w:rsid w:val="00622155"/>
    <w:rsid w:val="006230FC"/>
    <w:rsid w:val="00623487"/>
    <w:rsid w:val="006241A9"/>
    <w:rsid w:val="00624284"/>
    <w:rsid w:val="00624319"/>
    <w:rsid w:val="006246E9"/>
    <w:rsid w:val="00625EBF"/>
    <w:rsid w:val="00626D50"/>
    <w:rsid w:val="00626EE3"/>
    <w:rsid w:val="006277D8"/>
    <w:rsid w:val="00627E00"/>
    <w:rsid w:val="00627EA2"/>
    <w:rsid w:val="00630B95"/>
    <w:rsid w:val="00631778"/>
    <w:rsid w:val="0063281B"/>
    <w:rsid w:val="00632CAF"/>
    <w:rsid w:val="00632D5C"/>
    <w:rsid w:val="006332A1"/>
    <w:rsid w:val="006346D1"/>
    <w:rsid w:val="006370DE"/>
    <w:rsid w:val="0064035A"/>
    <w:rsid w:val="00641E07"/>
    <w:rsid w:val="006432B9"/>
    <w:rsid w:val="00645217"/>
    <w:rsid w:val="0064622F"/>
    <w:rsid w:val="00647100"/>
    <w:rsid w:val="006529D3"/>
    <w:rsid w:val="00652E68"/>
    <w:rsid w:val="00654237"/>
    <w:rsid w:val="00654C06"/>
    <w:rsid w:val="00656941"/>
    <w:rsid w:val="00660703"/>
    <w:rsid w:val="00660F59"/>
    <w:rsid w:val="00662269"/>
    <w:rsid w:val="00662CEF"/>
    <w:rsid w:val="0066407B"/>
    <w:rsid w:val="006647DA"/>
    <w:rsid w:val="0066480B"/>
    <w:rsid w:val="006651E7"/>
    <w:rsid w:val="00665280"/>
    <w:rsid w:val="006653D6"/>
    <w:rsid w:val="00665C16"/>
    <w:rsid w:val="006708CD"/>
    <w:rsid w:val="006718CE"/>
    <w:rsid w:val="00671B83"/>
    <w:rsid w:val="00672201"/>
    <w:rsid w:val="00672BA3"/>
    <w:rsid w:val="006731E8"/>
    <w:rsid w:val="00674647"/>
    <w:rsid w:val="0067580B"/>
    <w:rsid w:val="00676D54"/>
    <w:rsid w:val="00683C82"/>
    <w:rsid w:val="006840FF"/>
    <w:rsid w:val="0068430D"/>
    <w:rsid w:val="00684CF5"/>
    <w:rsid w:val="00686A60"/>
    <w:rsid w:val="00686DA8"/>
    <w:rsid w:val="0068711D"/>
    <w:rsid w:val="006874C4"/>
    <w:rsid w:val="00687DF4"/>
    <w:rsid w:val="006912D1"/>
    <w:rsid w:val="00691426"/>
    <w:rsid w:val="00691496"/>
    <w:rsid w:val="006934FC"/>
    <w:rsid w:val="0069432E"/>
    <w:rsid w:val="00694F71"/>
    <w:rsid w:val="006979A4"/>
    <w:rsid w:val="006A1309"/>
    <w:rsid w:val="006A34E1"/>
    <w:rsid w:val="006A351F"/>
    <w:rsid w:val="006A3C8E"/>
    <w:rsid w:val="006A6A96"/>
    <w:rsid w:val="006A6FEB"/>
    <w:rsid w:val="006B01A1"/>
    <w:rsid w:val="006B0EBE"/>
    <w:rsid w:val="006B11E1"/>
    <w:rsid w:val="006B2180"/>
    <w:rsid w:val="006B2EF9"/>
    <w:rsid w:val="006B3AFE"/>
    <w:rsid w:val="006B3D1C"/>
    <w:rsid w:val="006B551C"/>
    <w:rsid w:val="006B59E5"/>
    <w:rsid w:val="006B5AAE"/>
    <w:rsid w:val="006B62BF"/>
    <w:rsid w:val="006B6423"/>
    <w:rsid w:val="006B6928"/>
    <w:rsid w:val="006B76E7"/>
    <w:rsid w:val="006C09F4"/>
    <w:rsid w:val="006C0A99"/>
    <w:rsid w:val="006C3CBB"/>
    <w:rsid w:val="006C4160"/>
    <w:rsid w:val="006C640D"/>
    <w:rsid w:val="006C77C3"/>
    <w:rsid w:val="006C7B66"/>
    <w:rsid w:val="006D18ED"/>
    <w:rsid w:val="006D193C"/>
    <w:rsid w:val="006D23E9"/>
    <w:rsid w:val="006D358F"/>
    <w:rsid w:val="006D47D6"/>
    <w:rsid w:val="006D54A2"/>
    <w:rsid w:val="006D6879"/>
    <w:rsid w:val="006D6CC3"/>
    <w:rsid w:val="006E0E8E"/>
    <w:rsid w:val="006E1EF2"/>
    <w:rsid w:val="006E23B7"/>
    <w:rsid w:val="006E4162"/>
    <w:rsid w:val="006E484C"/>
    <w:rsid w:val="006E5143"/>
    <w:rsid w:val="006E738F"/>
    <w:rsid w:val="006E76C7"/>
    <w:rsid w:val="006F0868"/>
    <w:rsid w:val="006F0F1A"/>
    <w:rsid w:val="006F10F2"/>
    <w:rsid w:val="006F264C"/>
    <w:rsid w:val="006F3EEC"/>
    <w:rsid w:val="006F54E7"/>
    <w:rsid w:val="006F6503"/>
    <w:rsid w:val="006F6ABA"/>
    <w:rsid w:val="006F744B"/>
    <w:rsid w:val="00700929"/>
    <w:rsid w:val="00700BB7"/>
    <w:rsid w:val="00701468"/>
    <w:rsid w:val="00701936"/>
    <w:rsid w:val="00701A5E"/>
    <w:rsid w:val="00702F48"/>
    <w:rsid w:val="00703DCE"/>
    <w:rsid w:val="007060C2"/>
    <w:rsid w:val="00707F4C"/>
    <w:rsid w:val="00710A5E"/>
    <w:rsid w:val="00711FF8"/>
    <w:rsid w:val="007126A6"/>
    <w:rsid w:val="0071283E"/>
    <w:rsid w:val="00714ED0"/>
    <w:rsid w:val="0071571B"/>
    <w:rsid w:val="00721EC6"/>
    <w:rsid w:val="00722D39"/>
    <w:rsid w:val="00724B2B"/>
    <w:rsid w:val="00725342"/>
    <w:rsid w:val="00725994"/>
    <w:rsid w:val="007273BA"/>
    <w:rsid w:val="00732A1A"/>
    <w:rsid w:val="007341AF"/>
    <w:rsid w:val="00734BC6"/>
    <w:rsid w:val="007366CF"/>
    <w:rsid w:val="007372E7"/>
    <w:rsid w:val="00741CAF"/>
    <w:rsid w:val="00742321"/>
    <w:rsid w:val="00743822"/>
    <w:rsid w:val="00745C53"/>
    <w:rsid w:val="0074630F"/>
    <w:rsid w:val="00747643"/>
    <w:rsid w:val="007508E1"/>
    <w:rsid w:val="00752B16"/>
    <w:rsid w:val="00753D1B"/>
    <w:rsid w:val="00757C1B"/>
    <w:rsid w:val="007606B7"/>
    <w:rsid w:val="007613C3"/>
    <w:rsid w:val="00761838"/>
    <w:rsid w:val="00761D29"/>
    <w:rsid w:val="00761E6A"/>
    <w:rsid w:val="00761FA3"/>
    <w:rsid w:val="0076499A"/>
    <w:rsid w:val="00766F6C"/>
    <w:rsid w:val="007674A1"/>
    <w:rsid w:val="00767833"/>
    <w:rsid w:val="00770D89"/>
    <w:rsid w:val="00771177"/>
    <w:rsid w:val="00771C56"/>
    <w:rsid w:val="00771CFE"/>
    <w:rsid w:val="0077306A"/>
    <w:rsid w:val="00773A62"/>
    <w:rsid w:val="00774285"/>
    <w:rsid w:val="00774602"/>
    <w:rsid w:val="00775466"/>
    <w:rsid w:val="007764BA"/>
    <w:rsid w:val="00776F4E"/>
    <w:rsid w:val="007775C9"/>
    <w:rsid w:val="0077779F"/>
    <w:rsid w:val="0078149B"/>
    <w:rsid w:val="00781AD2"/>
    <w:rsid w:val="00781DFE"/>
    <w:rsid w:val="007821EE"/>
    <w:rsid w:val="0078415A"/>
    <w:rsid w:val="00786611"/>
    <w:rsid w:val="00787834"/>
    <w:rsid w:val="007878DD"/>
    <w:rsid w:val="007878F6"/>
    <w:rsid w:val="00792591"/>
    <w:rsid w:val="00793C87"/>
    <w:rsid w:val="00793DDF"/>
    <w:rsid w:val="00794B6C"/>
    <w:rsid w:val="00794CF6"/>
    <w:rsid w:val="007950F8"/>
    <w:rsid w:val="007954C7"/>
    <w:rsid w:val="007964DD"/>
    <w:rsid w:val="00796A17"/>
    <w:rsid w:val="00797AD5"/>
    <w:rsid w:val="007A02A7"/>
    <w:rsid w:val="007A095C"/>
    <w:rsid w:val="007A29B8"/>
    <w:rsid w:val="007A42D0"/>
    <w:rsid w:val="007A5581"/>
    <w:rsid w:val="007A55D7"/>
    <w:rsid w:val="007A57DA"/>
    <w:rsid w:val="007A6013"/>
    <w:rsid w:val="007A604B"/>
    <w:rsid w:val="007B04B1"/>
    <w:rsid w:val="007B1678"/>
    <w:rsid w:val="007B1FC6"/>
    <w:rsid w:val="007B3ACE"/>
    <w:rsid w:val="007B6827"/>
    <w:rsid w:val="007B7780"/>
    <w:rsid w:val="007C1223"/>
    <w:rsid w:val="007C27FF"/>
    <w:rsid w:val="007C3356"/>
    <w:rsid w:val="007C4156"/>
    <w:rsid w:val="007C4162"/>
    <w:rsid w:val="007C5360"/>
    <w:rsid w:val="007C76A3"/>
    <w:rsid w:val="007D05F8"/>
    <w:rsid w:val="007D09D0"/>
    <w:rsid w:val="007D138C"/>
    <w:rsid w:val="007D1A7F"/>
    <w:rsid w:val="007D2281"/>
    <w:rsid w:val="007D3737"/>
    <w:rsid w:val="007D4AFD"/>
    <w:rsid w:val="007E18BA"/>
    <w:rsid w:val="007E3135"/>
    <w:rsid w:val="007E3A8A"/>
    <w:rsid w:val="007E3B0E"/>
    <w:rsid w:val="007E3EC4"/>
    <w:rsid w:val="007E694F"/>
    <w:rsid w:val="007E6DEA"/>
    <w:rsid w:val="007E7634"/>
    <w:rsid w:val="007F1130"/>
    <w:rsid w:val="007F1BEF"/>
    <w:rsid w:val="007F286F"/>
    <w:rsid w:val="007F34D3"/>
    <w:rsid w:val="007F47B6"/>
    <w:rsid w:val="007F68C8"/>
    <w:rsid w:val="008009F6"/>
    <w:rsid w:val="0080119E"/>
    <w:rsid w:val="00801C7F"/>
    <w:rsid w:val="008022E9"/>
    <w:rsid w:val="00802874"/>
    <w:rsid w:val="00803A97"/>
    <w:rsid w:val="00804E04"/>
    <w:rsid w:val="00806B2F"/>
    <w:rsid w:val="00806CA6"/>
    <w:rsid w:val="00806CE7"/>
    <w:rsid w:val="00807692"/>
    <w:rsid w:val="00810041"/>
    <w:rsid w:val="008112E7"/>
    <w:rsid w:val="008116BD"/>
    <w:rsid w:val="00811815"/>
    <w:rsid w:val="00811CB6"/>
    <w:rsid w:val="00812225"/>
    <w:rsid w:val="00815209"/>
    <w:rsid w:val="00815400"/>
    <w:rsid w:val="00816090"/>
    <w:rsid w:val="0081630B"/>
    <w:rsid w:val="00816839"/>
    <w:rsid w:val="00817B27"/>
    <w:rsid w:val="00821C4C"/>
    <w:rsid w:val="00822440"/>
    <w:rsid w:val="00826375"/>
    <w:rsid w:val="00826BA6"/>
    <w:rsid w:val="0082755B"/>
    <w:rsid w:val="00827EEA"/>
    <w:rsid w:val="0083005E"/>
    <w:rsid w:val="00830F26"/>
    <w:rsid w:val="00831310"/>
    <w:rsid w:val="008315AA"/>
    <w:rsid w:val="0083286A"/>
    <w:rsid w:val="008349FD"/>
    <w:rsid w:val="00834D4B"/>
    <w:rsid w:val="00835094"/>
    <w:rsid w:val="008355CF"/>
    <w:rsid w:val="00835779"/>
    <w:rsid w:val="00835E9F"/>
    <w:rsid w:val="00837F75"/>
    <w:rsid w:val="00841157"/>
    <w:rsid w:val="00841381"/>
    <w:rsid w:val="00842615"/>
    <w:rsid w:val="00843FBB"/>
    <w:rsid w:val="00845E1D"/>
    <w:rsid w:val="00846995"/>
    <w:rsid w:val="00847014"/>
    <w:rsid w:val="008476A5"/>
    <w:rsid w:val="0085033E"/>
    <w:rsid w:val="00850493"/>
    <w:rsid w:val="008512E6"/>
    <w:rsid w:val="00851783"/>
    <w:rsid w:val="00853295"/>
    <w:rsid w:val="008532C1"/>
    <w:rsid w:val="0085534D"/>
    <w:rsid w:val="00856AD3"/>
    <w:rsid w:val="008572A9"/>
    <w:rsid w:val="0085786E"/>
    <w:rsid w:val="00857DF0"/>
    <w:rsid w:val="008608BA"/>
    <w:rsid w:val="008613FC"/>
    <w:rsid w:val="00861E3A"/>
    <w:rsid w:val="0086268C"/>
    <w:rsid w:val="008649BC"/>
    <w:rsid w:val="00864C87"/>
    <w:rsid w:val="008663DB"/>
    <w:rsid w:val="00866CA5"/>
    <w:rsid w:val="00867751"/>
    <w:rsid w:val="00867B46"/>
    <w:rsid w:val="0087197B"/>
    <w:rsid w:val="0087287A"/>
    <w:rsid w:val="008738AD"/>
    <w:rsid w:val="008739C6"/>
    <w:rsid w:val="00874B6F"/>
    <w:rsid w:val="00875B60"/>
    <w:rsid w:val="00880018"/>
    <w:rsid w:val="00880030"/>
    <w:rsid w:val="00881304"/>
    <w:rsid w:val="008818CF"/>
    <w:rsid w:val="00882177"/>
    <w:rsid w:val="0088364A"/>
    <w:rsid w:val="00884BD1"/>
    <w:rsid w:val="0088569E"/>
    <w:rsid w:val="0088679A"/>
    <w:rsid w:val="008927AE"/>
    <w:rsid w:val="008935AF"/>
    <w:rsid w:val="0089369E"/>
    <w:rsid w:val="0089431F"/>
    <w:rsid w:val="008967BD"/>
    <w:rsid w:val="00896B9B"/>
    <w:rsid w:val="008975A4"/>
    <w:rsid w:val="008A04E2"/>
    <w:rsid w:val="008A07CD"/>
    <w:rsid w:val="008A08AB"/>
    <w:rsid w:val="008A0FE0"/>
    <w:rsid w:val="008A1A1B"/>
    <w:rsid w:val="008A20FB"/>
    <w:rsid w:val="008A27E2"/>
    <w:rsid w:val="008A4D34"/>
    <w:rsid w:val="008A5ED1"/>
    <w:rsid w:val="008A5F72"/>
    <w:rsid w:val="008A620E"/>
    <w:rsid w:val="008B0041"/>
    <w:rsid w:val="008B0231"/>
    <w:rsid w:val="008B08E2"/>
    <w:rsid w:val="008B0FAD"/>
    <w:rsid w:val="008B2929"/>
    <w:rsid w:val="008B313F"/>
    <w:rsid w:val="008B319C"/>
    <w:rsid w:val="008B5E51"/>
    <w:rsid w:val="008B6947"/>
    <w:rsid w:val="008B74CC"/>
    <w:rsid w:val="008B7713"/>
    <w:rsid w:val="008C08BE"/>
    <w:rsid w:val="008C0BBD"/>
    <w:rsid w:val="008C20AD"/>
    <w:rsid w:val="008C349F"/>
    <w:rsid w:val="008C388E"/>
    <w:rsid w:val="008C4E8E"/>
    <w:rsid w:val="008C5942"/>
    <w:rsid w:val="008C5EA7"/>
    <w:rsid w:val="008C61B1"/>
    <w:rsid w:val="008C6C5C"/>
    <w:rsid w:val="008C7F45"/>
    <w:rsid w:val="008D044A"/>
    <w:rsid w:val="008D07E2"/>
    <w:rsid w:val="008D2458"/>
    <w:rsid w:val="008D254C"/>
    <w:rsid w:val="008D2B39"/>
    <w:rsid w:val="008D3453"/>
    <w:rsid w:val="008D3473"/>
    <w:rsid w:val="008D3E2F"/>
    <w:rsid w:val="008D4107"/>
    <w:rsid w:val="008D43A5"/>
    <w:rsid w:val="008D49EE"/>
    <w:rsid w:val="008D4A7F"/>
    <w:rsid w:val="008D5466"/>
    <w:rsid w:val="008D7181"/>
    <w:rsid w:val="008D7579"/>
    <w:rsid w:val="008D75BC"/>
    <w:rsid w:val="008D77C5"/>
    <w:rsid w:val="008D7DF1"/>
    <w:rsid w:val="008E0154"/>
    <w:rsid w:val="008E1182"/>
    <w:rsid w:val="008E1677"/>
    <w:rsid w:val="008E1B5F"/>
    <w:rsid w:val="008E1FB3"/>
    <w:rsid w:val="008E2B79"/>
    <w:rsid w:val="008E4369"/>
    <w:rsid w:val="008E4A74"/>
    <w:rsid w:val="008E4FB9"/>
    <w:rsid w:val="008E53CE"/>
    <w:rsid w:val="008E5CB2"/>
    <w:rsid w:val="008E6476"/>
    <w:rsid w:val="008E725C"/>
    <w:rsid w:val="008E7386"/>
    <w:rsid w:val="008E77B8"/>
    <w:rsid w:val="008E7AA4"/>
    <w:rsid w:val="008F0A60"/>
    <w:rsid w:val="008F0B1D"/>
    <w:rsid w:val="008F0D99"/>
    <w:rsid w:val="008F1692"/>
    <w:rsid w:val="008F2838"/>
    <w:rsid w:val="008F3750"/>
    <w:rsid w:val="008F555F"/>
    <w:rsid w:val="008F5688"/>
    <w:rsid w:val="008F60E1"/>
    <w:rsid w:val="008F6D23"/>
    <w:rsid w:val="00901778"/>
    <w:rsid w:val="00901CF1"/>
    <w:rsid w:val="00902887"/>
    <w:rsid w:val="00903909"/>
    <w:rsid w:val="00904D46"/>
    <w:rsid w:val="00906709"/>
    <w:rsid w:val="00906F8B"/>
    <w:rsid w:val="009078C9"/>
    <w:rsid w:val="00907B68"/>
    <w:rsid w:val="00910912"/>
    <w:rsid w:val="00910CC5"/>
    <w:rsid w:val="0091152C"/>
    <w:rsid w:val="00911B27"/>
    <w:rsid w:val="0091233C"/>
    <w:rsid w:val="0091350C"/>
    <w:rsid w:val="00915D32"/>
    <w:rsid w:val="00917AAD"/>
    <w:rsid w:val="00917EE4"/>
    <w:rsid w:val="0092093E"/>
    <w:rsid w:val="009237F7"/>
    <w:rsid w:val="0092382F"/>
    <w:rsid w:val="0092439D"/>
    <w:rsid w:val="00925328"/>
    <w:rsid w:val="009262A4"/>
    <w:rsid w:val="009262E3"/>
    <w:rsid w:val="00926736"/>
    <w:rsid w:val="00926B8D"/>
    <w:rsid w:val="009303E7"/>
    <w:rsid w:val="00930498"/>
    <w:rsid w:val="00930DE0"/>
    <w:rsid w:val="009312AA"/>
    <w:rsid w:val="00932E33"/>
    <w:rsid w:val="00932F35"/>
    <w:rsid w:val="00933D9C"/>
    <w:rsid w:val="009341E3"/>
    <w:rsid w:val="00934E70"/>
    <w:rsid w:val="0093648B"/>
    <w:rsid w:val="00937FF2"/>
    <w:rsid w:val="00940E57"/>
    <w:rsid w:val="0094123A"/>
    <w:rsid w:val="009426B7"/>
    <w:rsid w:val="00944A1A"/>
    <w:rsid w:val="00945922"/>
    <w:rsid w:val="00945C48"/>
    <w:rsid w:val="00946679"/>
    <w:rsid w:val="00947A0D"/>
    <w:rsid w:val="00947D2C"/>
    <w:rsid w:val="009526FA"/>
    <w:rsid w:val="0095383D"/>
    <w:rsid w:val="0095387B"/>
    <w:rsid w:val="00955332"/>
    <w:rsid w:val="00956CA3"/>
    <w:rsid w:val="009621AB"/>
    <w:rsid w:val="0096220F"/>
    <w:rsid w:val="00967DD0"/>
    <w:rsid w:val="009709C0"/>
    <w:rsid w:val="00971B54"/>
    <w:rsid w:val="009726CD"/>
    <w:rsid w:val="0097311E"/>
    <w:rsid w:val="00973A0F"/>
    <w:rsid w:val="0097598B"/>
    <w:rsid w:val="009759EF"/>
    <w:rsid w:val="009762B7"/>
    <w:rsid w:val="00976F5F"/>
    <w:rsid w:val="00977EFF"/>
    <w:rsid w:val="00982D31"/>
    <w:rsid w:val="00984764"/>
    <w:rsid w:val="00984E93"/>
    <w:rsid w:val="00985F25"/>
    <w:rsid w:val="009861F3"/>
    <w:rsid w:val="0098780A"/>
    <w:rsid w:val="00987F40"/>
    <w:rsid w:val="00990A7D"/>
    <w:rsid w:val="00991A8C"/>
    <w:rsid w:val="009924AA"/>
    <w:rsid w:val="00992736"/>
    <w:rsid w:val="009946E5"/>
    <w:rsid w:val="00995253"/>
    <w:rsid w:val="00995FC5"/>
    <w:rsid w:val="00997654"/>
    <w:rsid w:val="009A0279"/>
    <w:rsid w:val="009A269A"/>
    <w:rsid w:val="009A38CD"/>
    <w:rsid w:val="009A3BF9"/>
    <w:rsid w:val="009A41ED"/>
    <w:rsid w:val="009A45D6"/>
    <w:rsid w:val="009A5164"/>
    <w:rsid w:val="009A672F"/>
    <w:rsid w:val="009B1387"/>
    <w:rsid w:val="009B3A46"/>
    <w:rsid w:val="009B55DE"/>
    <w:rsid w:val="009B5D24"/>
    <w:rsid w:val="009C1E8F"/>
    <w:rsid w:val="009C34F1"/>
    <w:rsid w:val="009C592C"/>
    <w:rsid w:val="009C78AE"/>
    <w:rsid w:val="009C7AB3"/>
    <w:rsid w:val="009D06EB"/>
    <w:rsid w:val="009D17EF"/>
    <w:rsid w:val="009D2000"/>
    <w:rsid w:val="009D5682"/>
    <w:rsid w:val="009E0B7A"/>
    <w:rsid w:val="009E3542"/>
    <w:rsid w:val="009E42F6"/>
    <w:rsid w:val="009E582C"/>
    <w:rsid w:val="009E741D"/>
    <w:rsid w:val="009E7C4E"/>
    <w:rsid w:val="009F003B"/>
    <w:rsid w:val="009F2AEE"/>
    <w:rsid w:val="009F48B2"/>
    <w:rsid w:val="009F4A54"/>
    <w:rsid w:val="009F4C58"/>
    <w:rsid w:val="009F4D5D"/>
    <w:rsid w:val="009F67F5"/>
    <w:rsid w:val="009F69CA"/>
    <w:rsid w:val="009F7B76"/>
    <w:rsid w:val="009F7C9F"/>
    <w:rsid w:val="00A00372"/>
    <w:rsid w:val="00A00670"/>
    <w:rsid w:val="00A00D21"/>
    <w:rsid w:val="00A0255B"/>
    <w:rsid w:val="00A02A5C"/>
    <w:rsid w:val="00A045B3"/>
    <w:rsid w:val="00A058D2"/>
    <w:rsid w:val="00A05E24"/>
    <w:rsid w:val="00A05EF4"/>
    <w:rsid w:val="00A063BC"/>
    <w:rsid w:val="00A06AA2"/>
    <w:rsid w:val="00A06D02"/>
    <w:rsid w:val="00A10B1A"/>
    <w:rsid w:val="00A11215"/>
    <w:rsid w:val="00A116F2"/>
    <w:rsid w:val="00A12644"/>
    <w:rsid w:val="00A12EC3"/>
    <w:rsid w:val="00A145D4"/>
    <w:rsid w:val="00A16348"/>
    <w:rsid w:val="00A16357"/>
    <w:rsid w:val="00A21860"/>
    <w:rsid w:val="00A21A13"/>
    <w:rsid w:val="00A22C54"/>
    <w:rsid w:val="00A2612A"/>
    <w:rsid w:val="00A261FB"/>
    <w:rsid w:val="00A27073"/>
    <w:rsid w:val="00A276AD"/>
    <w:rsid w:val="00A3085E"/>
    <w:rsid w:val="00A31D29"/>
    <w:rsid w:val="00A325DA"/>
    <w:rsid w:val="00A32DE0"/>
    <w:rsid w:val="00A331FC"/>
    <w:rsid w:val="00A335CB"/>
    <w:rsid w:val="00A3695B"/>
    <w:rsid w:val="00A40007"/>
    <w:rsid w:val="00A4056A"/>
    <w:rsid w:val="00A42999"/>
    <w:rsid w:val="00A45BC8"/>
    <w:rsid w:val="00A45C81"/>
    <w:rsid w:val="00A46210"/>
    <w:rsid w:val="00A4628D"/>
    <w:rsid w:val="00A46B18"/>
    <w:rsid w:val="00A46ECC"/>
    <w:rsid w:val="00A47206"/>
    <w:rsid w:val="00A475A8"/>
    <w:rsid w:val="00A47FD7"/>
    <w:rsid w:val="00A50076"/>
    <w:rsid w:val="00A5178B"/>
    <w:rsid w:val="00A5345A"/>
    <w:rsid w:val="00A53B0C"/>
    <w:rsid w:val="00A5630D"/>
    <w:rsid w:val="00A56FE1"/>
    <w:rsid w:val="00A60961"/>
    <w:rsid w:val="00A624A0"/>
    <w:rsid w:val="00A62A05"/>
    <w:rsid w:val="00A637A3"/>
    <w:rsid w:val="00A65D66"/>
    <w:rsid w:val="00A672C6"/>
    <w:rsid w:val="00A6739F"/>
    <w:rsid w:val="00A702F2"/>
    <w:rsid w:val="00A711FA"/>
    <w:rsid w:val="00A72CDE"/>
    <w:rsid w:val="00A737F8"/>
    <w:rsid w:val="00A73F2A"/>
    <w:rsid w:val="00A74266"/>
    <w:rsid w:val="00A7522A"/>
    <w:rsid w:val="00A76EC4"/>
    <w:rsid w:val="00A77A90"/>
    <w:rsid w:val="00A80631"/>
    <w:rsid w:val="00A8172B"/>
    <w:rsid w:val="00A822DB"/>
    <w:rsid w:val="00A82356"/>
    <w:rsid w:val="00A82B7A"/>
    <w:rsid w:val="00A82E51"/>
    <w:rsid w:val="00A84FD2"/>
    <w:rsid w:val="00A87473"/>
    <w:rsid w:val="00A87B11"/>
    <w:rsid w:val="00A91030"/>
    <w:rsid w:val="00A938F1"/>
    <w:rsid w:val="00A93922"/>
    <w:rsid w:val="00A95168"/>
    <w:rsid w:val="00A96F7B"/>
    <w:rsid w:val="00A975FF"/>
    <w:rsid w:val="00AA0017"/>
    <w:rsid w:val="00AA0125"/>
    <w:rsid w:val="00AA01A3"/>
    <w:rsid w:val="00AA0EC2"/>
    <w:rsid w:val="00AA1C3C"/>
    <w:rsid w:val="00AA20B2"/>
    <w:rsid w:val="00AA3AC8"/>
    <w:rsid w:val="00AA5A65"/>
    <w:rsid w:val="00AA7204"/>
    <w:rsid w:val="00AA7464"/>
    <w:rsid w:val="00AA7AAF"/>
    <w:rsid w:val="00AB034E"/>
    <w:rsid w:val="00AB1105"/>
    <w:rsid w:val="00AB11BB"/>
    <w:rsid w:val="00AB29EF"/>
    <w:rsid w:val="00AB2E2D"/>
    <w:rsid w:val="00AB30F1"/>
    <w:rsid w:val="00AB5017"/>
    <w:rsid w:val="00AB59AC"/>
    <w:rsid w:val="00AB6167"/>
    <w:rsid w:val="00AB67A7"/>
    <w:rsid w:val="00AC01B0"/>
    <w:rsid w:val="00AC02A9"/>
    <w:rsid w:val="00AC3204"/>
    <w:rsid w:val="00AC3947"/>
    <w:rsid w:val="00AC45C3"/>
    <w:rsid w:val="00AD0916"/>
    <w:rsid w:val="00AD0CD6"/>
    <w:rsid w:val="00AD151A"/>
    <w:rsid w:val="00AD1546"/>
    <w:rsid w:val="00AD209C"/>
    <w:rsid w:val="00AD472C"/>
    <w:rsid w:val="00AD4E46"/>
    <w:rsid w:val="00AD5717"/>
    <w:rsid w:val="00AD5953"/>
    <w:rsid w:val="00AD5EB7"/>
    <w:rsid w:val="00AD697B"/>
    <w:rsid w:val="00AE2966"/>
    <w:rsid w:val="00AE6F9F"/>
    <w:rsid w:val="00AE7DFD"/>
    <w:rsid w:val="00AF2422"/>
    <w:rsid w:val="00AF2847"/>
    <w:rsid w:val="00AF51C6"/>
    <w:rsid w:val="00AF570A"/>
    <w:rsid w:val="00AF5F37"/>
    <w:rsid w:val="00AF6202"/>
    <w:rsid w:val="00AF7803"/>
    <w:rsid w:val="00B007DD"/>
    <w:rsid w:val="00B00ACE"/>
    <w:rsid w:val="00B021A6"/>
    <w:rsid w:val="00B02E2F"/>
    <w:rsid w:val="00B02EE9"/>
    <w:rsid w:val="00B0509D"/>
    <w:rsid w:val="00B06180"/>
    <w:rsid w:val="00B13454"/>
    <w:rsid w:val="00B147AC"/>
    <w:rsid w:val="00B14F1D"/>
    <w:rsid w:val="00B15878"/>
    <w:rsid w:val="00B15BB7"/>
    <w:rsid w:val="00B16BA5"/>
    <w:rsid w:val="00B16F27"/>
    <w:rsid w:val="00B171B9"/>
    <w:rsid w:val="00B17E61"/>
    <w:rsid w:val="00B200DE"/>
    <w:rsid w:val="00B20C64"/>
    <w:rsid w:val="00B237EA"/>
    <w:rsid w:val="00B2553E"/>
    <w:rsid w:val="00B259F8"/>
    <w:rsid w:val="00B27587"/>
    <w:rsid w:val="00B30D4F"/>
    <w:rsid w:val="00B30F35"/>
    <w:rsid w:val="00B31045"/>
    <w:rsid w:val="00B34906"/>
    <w:rsid w:val="00B3672F"/>
    <w:rsid w:val="00B36781"/>
    <w:rsid w:val="00B4055F"/>
    <w:rsid w:val="00B4214E"/>
    <w:rsid w:val="00B44D5D"/>
    <w:rsid w:val="00B45280"/>
    <w:rsid w:val="00B462AB"/>
    <w:rsid w:val="00B47BF0"/>
    <w:rsid w:val="00B47BFC"/>
    <w:rsid w:val="00B47F3A"/>
    <w:rsid w:val="00B50424"/>
    <w:rsid w:val="00B509D4"/>
    <w:rsid w:val="00B519DC"/>
    <w:rsid w:val="00B5416C"/>
    <w:rsid w:val="00B5591E"/>
    <w:rsid w:val="00B561AA"/>
    <w:rsid w:val="00B56DBC"/>
    <w:rsid w:val="00B57328"/>
    <w:rsid w:val="00B57A6C"/>
    <w:rsid w:val="00B57F61"/>
    <w:rsid w:val="00B61D94"/>
    <w:rsid w:val="00B62BF9"/>
    <w:rsid w:val="00B6334E"/>
    <w:rsid w:val="00B6344F"/>
    <w:rsid w:val="00B63D21"/>
    <w:rsid w:val="00B65541"/>
    <w:rsid w:val="00B65AC2"/>
    <w:rsid w:val="00B663C8"/>
    <w:rsid w:val="00B67014"/>
    <w:rsid w:val="00B676E9"/>
    <w:rsid w:val="00B70472"/>
    <w:rsid w:val="00B712F1"/>
    <w:rsid w:val="00B7148C"/>
    <w:rsid w:val="00B7181E"/>
    <w:rsid w:val="00B71EA8"/>
    <w:rsid w:val="00B73A6E"/>
    <w:rsid w:val="00B73B31"/>
    <w:rsid w:val="00B73E1D"/>
    <w:rsid w:val="00B744AD"/>
    <w:rsid w:val="00B74BF8"/>
    <w:rsid w:val="00B75D83"/>
    <w:rsid w:val="00B761F0"/>
    <w:rsid w:val="00B76494"/>
    <w:rsid w:val="00B764B2"/>
    <w:rsid w:val="00B764EE"/>
    <w:rsid w:val="00B77A1C"/>
    <w:rsid w:val="00B77E69"/>
    <w:rsid w:val="00B80D40"/>
    <w:rsid w:val="00B82391"/>
    <w:rsid w:val="00B8277E"/>
    <w:rsid w:val="00B82CAB"/>
    <w:rsid w:val="00B82FCE"/>
    <w:rsid w:val="00B836C7"/>
    <w:rsid w:val="00B8609F"/>
    <w:rsid w:val="00B87B16"/>
    <w:rsid w:val="00B90439"/>
    <w:rsid w:val="00B91A88"/>
    <w:rsid w:val="00B9272D"/>
    <w:rsid w:val="00B93454"/>
    <w:rsid w:val="00B94641"/>
    <w:rsid w:val="00B94A56"/>
    <w:rsid w:val="00B94E8A"/>
    <w:rsid w:val="00B957C8"/>
    <w:rsid w:val="00B9684B"/>
    <w:rsid w:val="00B97025"/>
    <w:rsid w:val="00B97B46"/>
    <w:rsid w:val="00B97DB5"/>
    <w:rsid w:val="00BA2C3D"/>
    <w:rsid w:val="00BA481E"/>
    <w:rsid w:val="00BA4C6B"/>
    <w:rsid w:val="00BA6387"/>
    <w:rsid w:val="00BA6EEB"/>
    <w:rsid w:val="00BA73CB"/>
    <w:rsid w:val="00BB100F"/>
    <w:rsid w:val="00BB22E1"/>
    <w:rsid w:val="00BB2B96"/>
    <w:rsid w:val="00BB42EC"/>
    <w:rsid w:val="00BB5D4D"/>
    <w:rsid w:val="00BB6291"/>
    <w:rsid w:val="00BC0772"/>
    <w:rsid w:val="00BC2560"/>
    <w:rsid w:val="00BC25FB"/>
    <w:rsid w:val="00BC4698"/>
    <w:rsid w:val="00BC6C9E"/>
    <w:rsid w:val="00BD09BB"/>
    <w:rsid w:val="00BD1856"/>
    <w:rsid w:val="00BD1F49"/>
    <w:rsid w:val="00BD346D"/>
    <w:rsid w:val="00BD4960"/>
    <w:rsid w:val="00BD5C79"/>
    <w:rsid w:val="00BD7706"/>
    <w:rsid w:val="00BE1EBC"/>
    <w:rsid w:val="00BE3895"/>
    <w:rsid w:val="00BE4309"/>
    <w:rsid w:val="00BE4FD8"/>
    <w:rsid w:val="00BE5842"/>
    <w:rsid w:val="00BE5D4A"/>
    <w:rsid w:val="00BE6CE7"/>
    <w:rsid w:val="00BF0DD8"/>
    <w:rsid w:val="00BF0E72"/>
    <w:rsid w:val="00BF198C"/>
    <w:rsid w:val="00BF33F1"/>
    <w:rsid w:val="00BF3BD3"/>
    <w:rsid w:val="00BF44CD"/>
    <w:rsid w:val="00BF45F4"/>
    <w:rsid w:val="00BF473F"/>
    <w:rsid w:val="00BF7222"/>
    <w:rsid w:val="00C00D15"/>
    <w:rsid w:val="00C0249F"/>
    <w:rsid w:val="00C02955"/>
    <w:rsid w:val="00C0374C"/>
    <w:rsid w:val="00C0394A"/>
    <w:rsid w:val="00C05FB1"/>
    <w:rsid w:val="00C10036"/>
    <w:rsid w:val="00C10BD2"/>
    <w:rsid w:val="00C11785"/>
    <w:rsid w:val="00C118A7"/>
    <w:rsid w:val="00C11AC1"/>
    <w:rsid w:val="00C11C38"/>
    <w:rsid w:val="00C126DE"/>
    <w:rsid w:val="00C12F77"/>
    <w:rsid w:val="00C139A1"/>
    <w:rsid w:val="00C14461"/>
    <w:rsid w:val="00C17B11"/>
    <w:rsid w:val="00C20FE1"/>
    <w:rsid w:val="00C22A0D"/>
    <w:rsid w:val="00C23348"/>
    <w:rsid w:val="00C23BFD"/>
    <w:rsid w:val="00C25B38"/>
    <w:rsid w:val="00C261B8"/>
    <w:rsid w:val="00C265AC"/>
    <w:rsid w:val="00C3256D"/>
    <w:rsid w:val="00C33928"/>
    <w:rsid w:val="00C33AD0"/>
    <w:rsid w:val="00C34A4A"/>
    <w:rsid w:val="00C34A53"/>
    <w:rsid w:val="00C34B7A"/>
    <w:rsid w:val="00C34C21"/>
    <w:rsid w:val="00C34C76"/>
    <w:rsid w:val="00C364E8"/>
    <w:rsid w:val="00C367E3"/>
    <w:rsid w:val="00C36DFD"/>
    <w:rsid w:val="00C37F5A"/>
    <w:rsid w:val="00C41848"/>
    <w:rsid w:val="00C41A9B"/>
    <w:rsid w:val="00C47562"/>
    <w:rsid w:val="00C50188"/>
    <w:rsid w:val="00C50211"/>
    <w:rsid w:val="00C506EF"/>
    <w:rsid w:val="00C53305"/>
    <w:rsid w:val="00C537D4"/>
    <w:rsid w:val="00C53A6D"/>
    <w:rsid w:val="00C53D18"/>
    <w:rsid w:val="00C5445E"/>
    <w:rsid w:val="00C54908"/>
    <w:rsid w:val="00C54C71"/>
    <w:rsid w:val="00C55BC4"/>
    <w:rsid w:val="00C57B6A"/>
    <w:rsid w:val="00C6193D"/>
    <w:rsid w:val="00C625E2"/>
    <w:rsid w:val="00C6332D"/>
    <w:rsid w:val="00C64733"/>
    <w:rsid w:val="00C66C01"/>
    <w:rsid w:val="00C66D89"/>
    <w:rsid w:val="00C66F95"/>
    <w:rsid w:val="00C675B3"/>
    <w:rsid w:val="00C67AC0"/>
    <w:rsid w:val="00C710BE"/>
    <w:rsid w:val="00C71A02"/>
    <w:rsid w:val="00C71FA0"/>
    <w:rsid w:val="00C72439"/>
    <w:rsid w:val="00C729E8"/>
    <w:rsid w:val="00C73EBD"/>
    <w:rsid w:val="00C74BD8"/>
    <w:rsid w:val="00C74E63"/>
    <w:rsid w:val="00C751BE"/>
    <w:rsid w:val="00C75439"/>
    <w:rsid w:val="00C756F3"/>
    <w:rsid w:val="00C763D6"/>
    <w:rsid w:val="00C77B60"/>
    <w:rsid w:val="00C77E58"/>
    <w:rsid w:val="00C8002D"/>
    <w:rsid w:val="00C81B99"/>
    <w:rsid w:val="00C82241"/>
    <w:rsid w:val="00C825D8"/>
    <w:rsid w:val="00C846B2"/>
    <w:rsid w:val="00C85815"/>
    <w:rsid w:val="00C85B1D"/>
    <w:rsid w:val="00C8795D"/>
    <w:rsid w:val="00C92CBF"/>
    <w:rsid w:val="00C94AD1"/>
    <w:rsid w:val="00C9570A"/>
    <w:rsid w:val="00C95E37"/>
    <w:rsid w:val="00C95E85"/>
    <w:rsid w:val="00CA2089"/>
    <w:rsid w:val="00CA2A29"/>
    <w:rsid w:val="00CA2C36"/>
    <w:rsid w:val="00CA6C11"/>
    <w:rsid w:val="00CA7E68"/>
    <w:rsid w:val="00CB0E51"/>
    <w:rsid w:val="00CB18EC"/>
    <w:rsid w:val="00CB2067"/>
    <w:rsid w:val="00CB22C2"/>
    <w:rsid w:val="00CB24A6"/>
    <w:rsid w:val="00CB283C"/>
    <w:rsid w:val="00CB306F"/>
    <w:rsid w:val="00CB3993"/>
    <w:rsid w:val="00CB5C22"/>
    <w:rsid w:val="00CB6C00"/>
    <w:rsid w:val="00CB6FD9"/>
    <w:rsid w:val="00CB7489"/>
    <w:rsid w:val="00CC0D87"/>
    <w:rsid w:val="00CC2340"/>
    <w:rsid w:val="00CC2A80"/>
    <w:rsid w:val="00CC4630"/>
    <w:rsid w:val="00CC4C65"/>
    <w:rsid w:val="00CC705B"/>
    <w:rsid w:val="00CC7579"/>
    <w:rsid w:val="00CD020D"/>
    <w:rsid w:val="00CD04BF"/>
    <w:rsid w:val="00CD20DF"/>
    <w:rsid w:val="00CD22EA"/>
    <w:rsid w:val="00CD2713"/>
    <w:rsid w:val="00CD27E2"/>
    <w:rsid w:val="00CD55C8"/>
    <w:rsid w:val="00CD5ADF"/>
    <w:rsid w:val="00CD7003"/>
    <w:rsid w:val="00CD72FD"/>
    <w:rsid w:val="00CD73B1"/>
    <w:rsid w:val="00CD7B23"/>
    <w:rsid w:val="00CE0C2A"/>
    <w:rsid w:val="00CE21CC"/>
    <w:rsid w:val="00CE3C98"/>
    <w:rsid w:val="00CE4245"/>
    <w:rsid w:val="00CE4B4F"/>
    <w:rsid w:val="00CE4CC6"/>
    <w:rsid w:val="00CE5319"/>
    <w:rsid w:val="00CE5948"/>
    <w:rsid w:val="00CE5B81"/>
    <w:rsid w:val="00CE5D93"/>
    <w:rsid w:val="00CE6167"/>
    <w:rsid w:val="00CF013A"/>
    <w:rsid w:val="00CF0963"/>
    <w:rsid w:val="00CF3944"/>
    <w:rsid w:val="00CF6693"/>
    <w:rsid w:val="00D014CD"/>
    <w:rsid w:val="00D01ABA"/>
    <w:rsid w:val="00D01D25"/>
    <w:rsid w:val="00D02C0A"/>
    <w:rsid w:val="00D03854"/>
    <w:rsid w:val="00D04A4F"/>
    <w:rsid w:val="00D05A69"/>
    <w:rsid w:val="00D060DF"/>
    <w:rsid w:val="00D07620"/>
    <w:rsid w:val="00D07995"/>
    <w:rsid w:val="00D10FB7"/>
    <w:rsid w:val="00D120EA"/>
    <w:rsid w:val="00D135B0"/>
    <w:rsid w:val="00D137A5"/>
    <w:rsid w:val="00D13B5A"/>
    <w:rsid w:val="00D146FF"/>
    <w:rsid w:val="00D14C99"/>
    <w:rsid w:val="00D151BC"/>
    <w:rsid w:val="00D152C2"/>
    <w:rsid w:val="00D1635A"/>
    <w:rsid w:val="00D169EB"/>
    <w:rsid w:val="00D16D6C"/>
    <w:rsid w:val="00D20EC2"/>
    <w:rsid w:val="00D20FCC"/>
    <w:rsid w:val="00D210F1"/>
    <w:rsid w:val="00D235A6"/>
    <w:rsid w:val="00D24DFD"/>
    <w:rsid w:val="00D2570D"/>
    <w:rsid w:val="00D25B34"/>
    <w:rsid w:val="00D2747C"/>
    <w:rsid w:val="00D27793"/>
    <w:rsid w:val="00D27E38"/>
    <w:rsid w:val="00D30544"/>
    <w:rsid w:val="00D30E05"/>
    <w:rsid w:val="00D30EA1"/>
    <w:rsid w:val="00D3240E"/>
    <w:rsid w:val="00D32680"/>
    <w:rsid w:val="00D33298"/>
    <w:rsid w:val="00D33620"/>
    <w:rsid w:val="00D33F58"/>
    <w:rsid w:val="00D340B9"/>
    <w:rsid w:val="00D34A93"/>
    <w:rsid w:val="00D353BF"/>
    <w:rsid w:val="00D353CF"/>
    <w:rsid w:val="00D3621F"/>
    <w:rsid w:val="00D37E74"/>
    <w:rsid w:val="00D423B0"/>
    <w:rsid w:val="00D43A26"/>
    <w:rsid w:val="00D44AF3"/>
    <w:rsid w:val="00D44BB9"/>
    <w:rsid w:val="00D45187"/>
    <w:rsid w:val="00D4560F"/>
    <w:rsid w:val="00D45F9F"/>
    <w:rsid w:val="00D46056"/>
    <w:rsid w:val="00D503AD"/>
    <w:rsid w:val="00D508A8"/>
    <w:rsid w:val="00D50DC4"/>
    <w:rsid w:val="00D52887"/>
    <w:rsid w:val="00D533F4"/>
    <w:rsid w:val="00D534BE"/>
    <w:rsid w:val="00D53C06"/>
    <w:rsid w:val="00D54282"/>
    <w:rsid w:val="00D545D0"/>
    <w:rsid w:val="00D554E8"/>
    <w:rsid w:val="00D56EEA"/>
    <w:rsid w:val="00D57EC1"/>
    <w:rsid w:val="00D6040A"/>
    <w:rsid w:val="00D608C3"/>
    <w:rsid w:val="00D6227A"/>
    <w:rsid w:val="00D622A6"/>
    <w:rsid w:val="00D62853"/>
    <w:rsid w:val="00D63897"/>
    <w:rsid w:val="00D644A6"/>
    <w:rsid w:val="00D64BBE"/>
    <w:rsid w:val="00D65599"/>
    <w:rsid w:val="00D65748"/>
    <w:rsid w:val="00D666F8"/>
    <w:rsid w:val="00D67921"/>
    <w:rsid w:val="00D71448"/>
    <w:rsid w:val="00D71D40"/>
    <w:rsid w:val="00D7255B"/>
    <w:rsid w:val="00D72841"/>
    <w:rsid w:val="00D73013"/>
    <w:rsid w:val="00D73DED"/>
    <w:rsid w:val="00D7485D"/>
    <w:rsid w:val="00D75D11"/>
    <w:rsid w:val="00D7613A"/>
    <w:rsid w:val="00D76F13"/>
    <w:rsid w:val="00D77CD2"/>
    <w:rsid w:val="00D803AB"/>
    <w:rsid w:val="00D811BD"/>
    <w:rsid w:val="00D8195D"/>
    <w:rsid w:val="00D81A27"/>
    <w:rsid w:val="00D81F02"/>
    <w:rsid w:val="00D82F47"/>
    <w:rsid w:val="00D836B6"/>
    <w:rsid w:val="00D85623"/>
    <w:rsid w:val="00D91692"/>
    <w:rsid w:val="00D935B9"/>
    <w:rsid w:val="00D953DE"/>
    <w:rsid w:val="00D967FD"/>
    <w:rsid w:val="00D96E91"/>
    <w:rsid w:val="00D972F4"/>
    <w:rsid w:val="00D978A7"/>
    <w:rsid w:val="00DA0834"/>
    <w:rsid w:val="00DA191D"/>
    <w:rsid w:val="00DA2068"/>
    <w:rsid w:val="00DA2DB1"/>
    <w:rsid w:val="00DA4B64"/>
    <w:rsid w:val="00DA4BCB"/>
    <w:rsid w:val="00DB10AC"/>
    <w:rsid w:val="00DB3227"/>
    <w:rsid w:val="00DB4ABD"/>
    <w:rsid w:val="00DB5101"/>
    <w:rsid w:val="00DC1EB8"/>
    <w:rsid w:val="00DC5103"/>
    <w:rsid w:val="00DC6943"/>
    <w:rsid w:val="00DC6DB0"/>
    <w:rsid w:val="00DD02A2"/>
    <w:rsid w:val="00DD06CA"/>
    <w:rsid w:val="00DD0CBB"/>
    <w:rsid w:val="00DD1C59"/>
    <w:rsid w:val="00DD39AD"/>
    <w:rsid w:val="00DD5108"/>
    <w:rsid w:val="00DD55F0"/>
    <w:rsid w:val="00DD7424"/>
    <w:rsid w:val="00DE138B"/>
    <w:rsid w:val="00DE228B"/>
    <w:rsid w:val="00DE3173"/>
    <w:rsid w:val="00DE5A67"/>
    <w:rsid w:val="00DE7086"/>
    <w:rsid w:val="00DE77D9"/>
    <w:rsid w:val="00DE7F34"/>
    <w:rsid w:val="00DF3247"/>
    <w:rsid w:val="00DF5595"/>
    <w:rsid w:val="00DF642F"/>
    <w:rsid w:val="00DF6806"/>
    <w:rsid w:val="00E000EB"/>
    <w:rsid w:val="00E0013E"/>
    <w:rsid w:val="00E00149"/>
    <w:rsid w:val="00E01C56"/>
    <w:rsid w:val="00E03E63"/>
    <w:rsid w:val="00E04956"/>
    <w:rsid w:val="00E06DF6"/>
    <w:rsid w:val="00E0707E"/>
    <w:rsid w:val="00E07AC3"/>
    <w:rsid w:val="00E119BB"/>
    <w:rsid w:val="00E1231C"/>
    <w:rsid w:val="00E124EF"/>
    <w:rsid w:val="00E127D1"/>
    <w:rsid w:val="00E135FA"/>
    <w:rsid w:val="00E14C2B"/>
    <w:rsid w:val="00E17548"/>
    <w:rsid w:val="00E20160"/>
    <w:rsid w:val="00E24396"/>
    <w:rsid w:val="00E2444C"/>
    <w:rsid w:val="00E26D88"/>
    <w:rsid w:val="00E2772F"/>
    <w:rsid w:val="00E30822"/>
    <w:rsid w:val="00E30AE3"/>
    <w:rsid w:val="00E313EE"/>
    <w:rsid w:val="00E316E3"/>
    <w:rsid w:val="00E32E28"/>
    <w:rsid w:val="00E33EDA"/>
    <w:rsid w:val="00E3457D"/>
    <w:rsid w:val="00E346FC"/>
    <w:rsid w:val="00E349BA"/>
    <w:rsid w:val="00E35C6C"/>
    <w:rsid w:val="00E36D2C"/>
    <w:rsid w:val="00E41534"/>
    <w:rsid w:val="00E4368E"/>
    <w:rsid w:val="00E43B55"/>
    <w:rsid w:val="00E4531A"/>
    <w:rsid w:val="00E45501"/>
    <w:rsid w:val="00E50562"/>
    <w:rsid w:val="00E52B45"/>
    <w:rsid w:val="00E5568E"/>
    <w:rsid w:val="00E55A53"/>
    <w:rsid w:val="00E55D6E"/>
    <w:rsid w:val="00E565FA"/>
    <w:rsid w:val="00E61115"/>
    <w:rsid w:val="00E623EB"/>
    <w:rsid w:val="00E62956"/>
    <w:rsid w:val="00E6433C"/>
    <w:rsid w:val="00E64874"/>
    <w:rsid w:val="00E64ADC"/>
    <w:rsid w:val="00E65A83"/>
    <w:rsid w:val="00E65BAE"/>
    <w:rsid w:val="00E67EC9"/>
    <w:rsid w:val="00E70137"/>
    <w:rsid w:val="00E70788"/>
    <w:rsid w:val="00E72101"/>
    <w:rsid w:val="00E7323A"/>
    <w:rsid w:val="00E73705"/>
    <w:rsid w:val="00E73DB7"/>
    <w:rsid w:val="00E74996"/>
    <w:rsid w:val="00E753E0"/>
    <w:rsid w:val="00E75D96"/>
    <w:rsid w:val="00E764AD"/>
    <w:rsid w:val="00E76F38"/>
    <w:rsid w:val="00E810EF"/>
    <w:rsid w:val="00E812FD"/>
    <w:rsid w:val="00E82FEF"/>
    <w:rsid w:val="00E831F7"/>
    <w:rsid w:val="00E839B2"/>
    <w:rsid w:val="00E90AB4"/>
    <w:rsid w:val="00E90EF1"/>
    <w:rsid w:val="00E92273"/>
    <w:rsid w:val="00E92665"/>
    <w:rsid w:val="00E928F3"/>
    <w:rsid w:val="00E93587"/>
    <w:rsid w:val="00E93E14"/>
    <w:rsid w:val="00E94AE3"/>
    <w:rsid w:val="00E9524B"/>
    <w:rsid w:val="00E95F51"/>
    <w:rsid w:val="00E9607D"/>
    <w:rsid w:val="00E9722D"/>
    <w:rsid w:val="00EA0E69"/>
    <w:rsid w:val="00EA189C"/>
    <w:rsid w:val="00EA1BD9"/>
    <w:rsid w:val="00EA1CD5"/>
    <w:rsid w:val="00EA2F1A"/>
    <w:rsid w:val="00EA5357"/>
    <w:rsid w:val="00EA541A"/>
    <w:rsid w:val="00EA7959"/>
    <w:rsid w:val="00EB0DC6"/>
    <w:rsid w:val="00EB21C0"/>
    <w:rsid w:val="00EB27C6"/>
    <w:rsid w:val="00EB2CDD"/>
    <w:rsid w:val="00EB2E4F"/>
    <w:rsid w:val="00EB31C6"/>
    <w:rsid w:val="00EB476A"/>
    <w:rsid w:val="00EB506D"/>
    <w:rsid w:val="00EB5214"/>
    <w:rsid w:val="00EB5E39"/>
    <w:rsid w:val="00EB7074"/>
    <w:rsid w:val="00EB70F5"/>
    <w:rsid w:val="00EC016B"/>
    <w:rsid w:val="00EC0631"/>
    <w:rsid w:val="00EC078A"/>
    <w:rsid w:val="00EC29FF"/>
    <w:rsid w:val="00EC2B89"/>
    <w:rsid w:val="00EC47F8"/>
    <w:rsid w:val="00EC5704"/>
    <w:rsid w:val="00EC5B61"/>
    <w:rsid w:val="00EC7E17"/>
    <w:rsid w:val="00ED0360"/>
    <w:rsid w:val="00ED0DF7"/>
    <w:rsid w:val="00ED2577"/>
    <w:rsid w:val="00ED32BC"/>
    <w:rsid w:val="00ED3710"/>
    <w:rsid w:val="00ED4240"/>
    <w:rsid w:val="00ED42A5"/>
    <w:rsid w:val="00ED42D3"/>
    <w:rsid w:val="00ED5AB9"/>
    <w:rsid w:val="00ED6006"/>
    <w:rsid w:val="00ED65D8"/>
    <w:rsid w:val="00ED65E3"/>
    <w:rsid w:val="00ED70B5"/>
    <w:rsid w:val="00ED7AE2"/>
    <w:rsid w:val="00EE03C5"/>
    <w:rsid w:val="00EE04EF"/>
    <w:rsid w:val="00EE1801"/>
    <w:rsid w:val="00EE21CA"/>
    <w:rsid w:val="00EE2441"/>
    <w:rsid w:val="00EE4094"/>
    <w:rsid w:val="00EE41E9"/>
    <w:rsid w:val="00EE4905"/>
    <w:rsid w:val="00EE50E6"/>
    <w:rsid w:val="00EE6225"/>
    <w:rsid w:val="00EF154E"/>
    <w:rsid w:val="00EF331E"/>
    <w:rsid w:val="00EF48FA"/>
    <w:rsid w:val="00EF57E0"/>
    <w:rsid w:val="00EF5EF2"/>
    <w:rsid w:val="00EF7455"/>
    <w:rsid w:val="00F0083A"/>
    <w:rsid w:val="00F00BE0"/>
    <w:rsid w:val="00F0168A"/>
    <w:rsid w:val="00F0440B"/>
    <w:rsid w:val="00F063E2"/>
    <w:rsid w:val="00F0698E"/>
    <w:rsid w:val="00F109F3"/>
    <w:rsid w:val="00F1167D"/>
    <w:rsid w:val="00F117E5"/>
    <w:rsid w:val="00F119BB"/>
    <w:rsid w:val="00F124CF"/>
    <w:rsid w:val="00F13121"/>
    <w:rsid w:val="00F13F01"/>
    <w:rsid w:val="00F16ED5"/>
    <w:rsid w:val="00F17D7C"/>
    <w:rsid w:val="00F204E3"/>
    <w:rsid w:val="00F205D2"/>
    <w:rsid w:val="00F207EA"/>
    <w:rsid w:val="00F210B8"/>
    <w:rsid w:val="00F212C7"/>
    <w:rsid w:val="00F21EA6"/>
    <w:rsid w:val="00F23164"/>
    <w:rsid w:val="00F23281"/>
    <w:rsid w:val="00F23B3B"/>
    <w:rsid w:val="00F2500D"/>
    <w:rsid w:val="00F255A7"/>
    <w:rsid w:val="00F26243"/>
    <w:rsid w:val="00F2654B"/>
    <w:rsid w:val="00F26A54"/>
    <w:rsid w:val="00F274A3"/>
    <w:rsid w:val="00F277B3"/>
    <w:rsid w:val="00F27A2E"/>
    <w:rsid w:val="00F3010C"/>
    <w:rsid w:val="00F3037C"/>
    <w:rsid w:val="00F30387"/>
    <w:rsid w:val="00F30DF5"/>
    <w:rsid w:val="00F32CAF"/>
    <w:rsid w:val="00F353D4"/>
    <w:rsid w:val="00F36B06"/>
    <w:rsid w:val="00F37270"/>
    <w:rsid w:val="00F37338"/>
    <w:rsid w:val="00F37EF4"/>
    <w:rsid w:val="00F411E4"/>
    <w:rsid w:val="00F41C37"/>
    <w:rsid w:val="00F422B3"/>
    <w:rsid w:val="00F4270B"/>
    <w:rsid w:val="00F4362C"/>
    <w:rsid w:val="00F43F90"/>
    <w:rsid w:val="00F44372"/>
    <w:rsid w:val="00F445C6"/>
    <w:rsid w:val="00F44FE8"/>
    <w:rsid w:val="00F4505F"/>
    <w:rsid w:val="00F45A19"/>
    <w:rsid w:val="00F45F13"/>
    <w:rsid w:val="00F468A4"/>
    <w:rsid w:val="00F5125B"/>
    <w:rsid w:val="00F5450A"/>
    <w:rsid w:val="00F54C0F"/>
    <w:rsid w:val="00F5513A"/>
    <w:rsid w:val="00F56207"/>
    <w:rsid w:val="00F577EB"/>
    <w:rsid w:val="00F629C3"/>
    <w:rsid w:val="00F66609"/>
    <w:rsid w:val="00F66D91"/>
    <w:rsid w:val="00F70E09"/>
    <w:rsid w:val="00F728E5"/>
    <w:rsid w:val="00F732CC"/>
    <w:rsid w:val="00F75E17"/>
    <w:rsid w:val="00F76055"/>
    <w:rsid w:val="00F76B17"/>
    <w:rsid w:val="00F77C53"/>
    <w:rsid w:val="00F80C7F"/>
    <w:rsid w:val="00F82F26"/>
    <w:rsid w:val="00F8365A"/>
    <w:rsid w:val="00F851EE"/>
    <w:rsid w:val="00F862AE"/>
    <w:rsid w:val="00F87646"/>
    <w:rsid w:val="00F91980"/>
    <w:rsid w:val="00F920B8"/>
    <w:rsid w:val="00F92262"/>
    <w:rsid w:val="00F9326B"/>
    <w:rsid w:val="00F93873"/>
    <w:rsid w:val="00F95496"/>
    <w:rsid w:val="00F958F8"/>
    <w:rsid w:val="00F97FE2"/>
    <w:rsid w:val="00FA1502"/>
    <w:rsid w:val="00FA4462"/>
    <w:rsid w:val="00FA53F8"/>
    <w:rsid w:val="00FA54E4"/>
    <w:rsid w:val="00FA55B9"/>
    <w:rsid w:val="00FA6558"/>
    <w:rsid w:val="00FA6FDB"/>
    <w:rsid w:val="00FA7B92"/>
    <w:rsid w:val="00FB0840"/>
    <w:rsid w:val="00FB16D8"/>
    <w:rsid w:val="00FB18B3"/>
    <w:rsid w:val="00FB2364"/>
    <w:rsid w:val="00FB2B53"/>
    <w:rsid w:val="00FB4595"/>
    <w:rsid w:val="00FB6C5B"/>
    <w:rsid w:val="00FB7FA3"/>
    <w:rsid w:val="00FC0817"/>
    <w:rsid w:val="00FC08C4"/>
    <w:rsid w:val="00FC2250"/>
    <w:rsid w:val="00FC386D"/>
    <w:rsid w:val="00FC3A60"/>
    <w:rsid w:val="00FC3DD3"/>
    <w:rsid w:val="00FC4ED9"/>
    <w:rsid w:val="00FC561A"/>
    <w:rsid w:val="00FC6173"/>
    <w:rsid w:val="00FC6854"/>
    <w:rsid w:val="00FC68B4"/>
    <w:rsid w:val="00FD0EB1"/>
    <w:rsid w:val="00FD17C7"/>
    <w:rsid w:val="00FD19F6"/>
    <w:rsid w:val="00FD2B7C"/>
    <w:rsid w:val="00FD2FC9"/>
    <w:rsid w:val="00FD3B63"/>
    <w:rsid w:val="00FD3F41"/>
    <w:rsid w:val="00FD48F2"/>
    <w:rsid w:val="00FD608A"/>
    <w:rsid w:val="00FD656D"/>
    <w:rsid w:val="00FD6B66"/>
    <w:rsid w:val="00FD6F00"/>
    <w:rsid w:val="00FE0068"/>
    <w:rsid w:val="00FE0230"/>
    <w:rsid w:val="00FE2EC3"/>
    <w:rsid w:val="00FE30A7"/>
    <w:rsid w:val="00FE44E2"/>
    <w:rsid w:val="00FE6154"/>
    <w:rsid w:val="00FE66E1"/>
    <w:rsid w:val="00FE6E27"/>
    <w:rsid w:val="00FE750C"/>
    <w:rsid w:val="00FF01A6"/>
    <w:rsid w:val="00FF0C87"/>
    <w:rsid w:val="00FF10B8"/>
    <w:rsid w:val="00FF1C52"/>
    <w:rsid w:val="00FF207A"/>
    <w:rsid w:val="00FF26CC"/>
    <w:rsid w:val="00FF3AD4"/>
    <w:rsid w:val="00FF5ED4"/>
    <w:rsid w:val="00FF6FA5"/>
    <w:rsid w:val="00FF766F"/>
    <w:rsid w:val="00FF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1A8D9"/>
  <w15:docId w15:val="{D1195F50-601F-450B-A01A-70BCF054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spacing w:before="120" w:after="120"/>
        <w:ind w:left="720" w:hanging="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40E"/>
    <w:pPr>
      <w:ind w:left="0" w:firstLine="0"/>
    </w:pPr>
    <w:rPr>
      <w:rFonts w:ascii="Arial" w:eastAsia="Times New Roman" w:hAnsi="Arial"/>
      <w:sz w:val="22"/>
    </w:rPr>
  </w:style>
  <w:style w:type="paragraph" w:styleId="Heading1">
    <w:name w:val="heading 1"/>
    <w:aliases w:val="Outline1"/>
    <w:basedOn w:val="Normal"/>
    <w:next w:val="Normal"/>
    <w:link w:val="Heading1Char"/>
    <w:qFormat/>
    <w:rsid w:val="00AF570A"/>
    <w:pPr>
      <w:numPr>
        <w:numId w:val="1"/>
      </w:numPr>
      <w:spacing w:before="360"/>
      <w:outlineLvl w:val="0"/>
    </w:pPr>
    <w:rPr>
      <w:b/>
      <w:kern w:val="24"/>
      <w:sz w:val="24"/>
    </w:rPr>
  </w:style>
  <w:style w:type="paragraph" w:styleId="Heading2">
    <w:name w:val="heading 2"/>
    <w:aliases w:val="Outline2,Outline2 Char,h2 Char"/>
    <w:basedOn w:val="Heading1"/>
    <w:next w:val="Normal"/>
    <w:link w:val="Heading2Char1"/>
    <w:uiPriority w:val="9"/>
    <w:qFormat/>
    <w:rsid w:val="0013037E"/>
    <w:pPr>
      <w:numPr>
        <w:ilvl w:val="1"/>
      </w:numPr>
      <w:tabs>
        <w:tab w:val="num" w:pos="0"/>
      </w:tabs>
      <w:ind w:left="992" w:hanging="992"/>
      <w:outlineLvl w:val="1"/>
    </w:pPr>
    <w:rPr>
      <w:b w:val="0"/>
      <w:sz w:val="22"/>
    </w:rPr>
  </w:style>
  <w:style w:type="paragraph" w:styleId="Heading3">
    <w:name w:val="heading 3"/>
    <w:aliases w:val="Outline3,Outline3 Char"/>
    <w:basedOn w:val="Normal"/>
    <w:next w:val="Normal"/>
    <w:link w:val="Heading3Char"/>
    <w:qFormat/>
    <w:rsid w:val="00C95E37"/>
    <w:pPr>
      <w:numPr>
        <w:ilvl w:val="2"/>
        <w:numId w:val="1"/>
      </w:numPr>
      <w:ind w:left="992" w:hanging="992"/>
      <w:outlineLvl w:val="2"/>
    </w:pPr>
    <w:rPr>
      <w:kern w:val="24"/>
    </w:rPr>
  </w:style>
  <w:style w:type="paragraph" w:styleId="Heading4">
    <w:name w:val="heading 4"/>
    <w:basedOn w:val="Heading3"/>
    <w:next w:val="Normal"/>
    <w:link w:val="Heading4Char"/>
    <w:uiPriority w:val="9"/>
    <w:unhideWhenUsed/>
    <w:qFormat/>
    <w:rsid w:val="0013037E"/>
    <w:pPr>
      <w:numPr>
        <w:ilvl w:val="3"/>
      </w:numPr>
      <w:ind w:left="992" w:hanging="992"/>
      <w:outlineLvl w:val="3"/>
    </w:pPr>
  </w:style>
  <w:style w:type="paragraph" w:styleId="Heading5">
    <w:name w:val="heading 5"/>
    <w:basedOn w:val="Normal"/>
    <w:next w:val="Normal"/>
    <w:link w:val="Heading5Char"/>
    <w:uiPriority w:val="9"/>
    <w:unhideWhenUsed/>
    <w:rsid w:val="00D353C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D353C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9F69CA"/>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57EE"/>
    <w:rPr>
      <w:color w:val="0000FF"/>
      <w:u w:val="single"/>
    </w:rPr>
  </w:style>
  <w:style w:type="paragraph" w:customStyle="1" w:styleId="Paraletter">
    <w:name w:val="Paraletter"/>
    <w:basedOn w:val="Normal"/>
    <w:locked/>
    <w:rsid w:val="003B57EE"/>
    <w:pPr>
      <w:tabs>
        <w:tab w:val="left" w:pos="720"/>
        <w:tab w:val="left" w:pos="1440"/>
        <w:tab w:val="left" w:pos="2160"/>
        <w:tab w:val="left" w:pos="2880"/>
        <w:tab w:val="center" w:pos="4507"/>
        <w:tab w:val="right" w:pos="9000"/>
      </w:tabs>
      <w:spacing w:line="240" w:lineRule="atLeast"/>
    </w:pPr>
    <w:rPr>
      <w:kern w:val="24"/>
      <w:sz w:val="24"/>
      <w:lang w:eastAsia="en-US"/>
    </w:rPr>
  </w:style>
  <w:style w:type="paragraph" w:customStyle="1" w:styleId="Body">
    <w:name w:val="Body"/>
    <w:basedOn w:val="Normal"/>
    <w:locked/>
    <w:rsid w:val="003B57EE"/>
    <w:pPr>
      <w:tabs>
        <w:tab w:val="left" w:pos="851"/>
        <w:tab w:val="left" w:pos="1701"/>
        <w:tab w:val="left" w:pos="2835"/>
        <w:tab w:val="left" w:pos="4253"/>
      </w:tabs>
      <w:spacing w:after="240"/>
    </w:pPr>
    <w:rPr>
      <w:sz w:val="24"/>
    </w:rPr>
  </w:style>
  <w:style w:type="character" w:customStyle="1" w:styleId="Heading1Char">
    <w:name w:val="Heading 1 Char"/>
    <w:aliases w:val="Outline1 Char"/>
    <w:link w:val="Heading1"/>
    <w:rsid w:val="00AF570A"/>
    <w:rPr>
      <w:rFonts w:ascii="Arial" w:eastAsia="Times New Roman" w:hAnsi="Arial"/>
      <w:b/>
      <w:kern w:val="24"/>
      <w:sz w:val="24"/>
    </w:rPr>
  </w:style>
  <w:style w:type="character" w:customStyle="1" w:styleId="Heading2Char">
    <w:name w:val="Heading 2 Char"/>
    <w:uiPriority w:val="9"/>
    <w:semiHidden/>
    <w:locked/>
    <w:rsid w:val="00621BF2"/>
    <w:rPr>
      <w:rFonts w:ascii="Cambria" w:eastAsia="Times New Roman" w:hAnsi="Cambria" w:cs="Times New Roman"/>
      <w:b/>
      <w:bCs/>
      <w:color w:val="4F81BD"/>
      <w:sz w:val="26"/>
      <w:szCs w:val="26"/>
      <w:lang w:val="en-GB" w:eastAsia="en-GB"/>
    </w:rPr>
  </w:style>
  <w:style w:type="character" w:customStyle="1" w:styleId="Heading3Char">
    <w:name w:val="Heading 3 Char"/>
    <w:aliases w:val="Outline3 Char1,Outline3 Char Char"/>
    <w:link w:val="Heading3"/>
    <w:rsid w:val="00C95E37"/>
    <w:rPr>
      <w:rFonts w:ascii="Arial" w:eastAsia="Times New Roman" w:hAnsi="Arial"/>
      <w:kern w:val="24"/>
      <w:sz w:val="22"/>
    </w:rPr>
  </w:style>
  <w:style w:type="character" w:customStyle="1" w:styleId="Heading2Char1">
    <w:name w:val="Heading 2 Char1"/>
    <w:aliases w:val="Outline2 Char1,Outline2 Char Char,h2 Char Char"/>
    <w:link w:val="Heading2"/>
    <w:uiPriority w:val="9"/>
    <w:rsid w:val="0013037E"/>
    <w:rPr>
      <w:rFonts w:ascii="Arial" w:eastAsia="Times New Roman" w:hAnsi="Arial"/>
      <w:kern w:val="24"/>
      <w:sz w:val="22"/>
    </w:rPr>
  </w:style>
  <w:style w:type="paragraph" w:styleId="BodyText">
    <w:name w:val="Body Text"/>
    <w:basedOn w:val="Normal"/>
    <w:link w:val="BodyTextChar"/>
    <w:rsid w:val="00621BF2"/>
  </w:style>
  <w:style w:type="character" w:customStyle="1" w:styleId="BodyTextChar">
    <w:name w:val="Body Text Char"/>
    <w:link w:val="BodyText"/>
    <w:rsid w:val="00621BF2"/>
    <w:rPr>
      <w:rFonts w:ascii="Times New Roman" w:eastAsia="Times New Roman" w:hAnsi="Times New Roman" w:cs="Times New Roman"/>
      <w:sz w:val="20"/>
      <w:szCs w:val="20"/>
      <w:lang w:val="en-GB" w:eastAsia="en-GB"/>
    </w:rPr>
  </w:style>
  <w:style w:type="paragraph" w:styleId="Title">
    <w:name w:val="Title"/>
    <w:basedOn w:val="Normal"/>
    <w:link w:val="TitleChar"/>
    <w:qFormat/>
    <w:rsid w:val="00621BF2"/>
    <w:pPr>
      <w:tabs>
        <w:tab w:val="left" w:pos="720"/>
        <w:tab w:val="left" w:pos="1440"/>
        <w:tab w:val="left" w:pos="2160"/>
        <w:tab w:val="left" w:pos="2880"/>
        <w:tab w:val="left" w:pos="4680"/>
        <w:tab w:val="left" w:pos="5400"/>
        <w:tab w:val="right" w:pos="9000"/>
      </w:tabs>
      <w:spacing w:line="240" w:lineRule="atLeast"/>
      <w:jc w:val="center"/>
    </w:pPr>
    <w:rPr>
      <w:b/>
      <w:sz w:val="24"/>
    </w:rPr>
  </w:style>
  <w:style w:type="character" w:customStyle="1" w:styleId="TitleChar">
    <w:name w:val="Title Char"/>
    <w:link w:val="Title"/>
    <w:rsid w:val="00621BF2"/>
    <w:rPr>
      <w:rFonts w:ascii="Times New Roman" w:eastAsia="Times New Roman" w:hAnsi="Times New Roman" w:cs="Times New Roman"/>
      <w:b/>
      <w:sz w:val="24"/>
      <w:szCs w:val="20"/>
      <w:lang w:val="en-GB" w:eastAsia="en-GB"/>
    </w:rPr>
  </w:style>
  <w:style w:type="character" w:customStyle="1" w:styleId="Heading7Char">
    <w:name w:val="Heading 7 Char"/>
    <w:link w:val="Heading7"/>
    <w:uiPriority w:val="9"/>
    <w:rsid w:val="009F69CA"/>
    <w:rPr>
      <w:rFonts w:ascii="Cambria" w:eastAsia="Times New Roman" w:hAnsi="Cambria" w:cs="Times New Roman"/>
      <w:i/>
      <w:iCs/>
      <w:color w:val="404040"/>
      <w:sz w:val="20"/>
      <w:szCs w:val="20"/>
      <w:lang w:val="en-GB" w:eastAsia="en-GB"/>
    </w:rPr>
  </w:style>
  <w:style w:type="paragraph" w:styleId="BodyTextIndent3">
    <w:name w:val="Body Text Indent 3"/>
    <w:basedOn w:val="Normal"/>
    <w:link w:val="BodyTextIndent3Char"/>
    <w:uiPriority w:val="99"/>
    <w:semiHidden/>
    <w:unhideWhenUsed/>
    <w:rsid w:val="009F69CA"/>
    <w:pPr>
      <w:ind w:left="283"/>
    </w:pPr>
    <w:rPr>
      <w:sz w:val="16"/>
      <w:szCs w:val="16"/>
    </w:rPr>
  </w:style>
  <w:style w:type="character" w:customStyle="1" w:styleId="BodyTextIndent3Char">
    <w:name w:val="Body Text Indent 3 Char"/>
    <w:link w:val="BodyTextIndent3"/>
    <w:uiPriority w:val="99"/>
    <w:semiHidden/>
    <w:rsid w:val="009F69CA"/>
    <w:rPr>
      <w:rFonts w:ascii="Times New Roman" w:eastAsia="Times New Roman" w:hAnsi="Times New Roman" w:cs="Times New Roman"/>
      <w:sz w:val="16"/>
      <w:szCs w:val="16"/>
      <w:lang w:val="en-GB" w:eastAsia="en-GB"/>
    </w:rPr>
  </w:style>
  <w:style w:type="paragraph" w:customStyle="1" w:styleId="Bulletted">
    <w:name w:val="Bulletted"/>
    <w:basedOn w:val="Normal"/>
    <w:next w:val="Normal"/>
    <w:locked/>
    <w:rsid w:val="009F69CA"/>
    <w:pPr>
      <w:numPr>
        <w:numId w:val="2"/>
      </w:numPr>
      <w:tabs>
        <w:tab w:val="left" w:pos="1080"/>
        <w:tab w:val="left" w:pos="1800"/>
        <w:tab w:val="left" w:pos="3240"/>
      </w:tabs>
    </w:pPr>
  </w:style>
  <w:style w:type="paragraph" w:styleId="Header">
    <w:name w:val="header"/>
    <w:basedOn w:val="Normal"/>
    <w:link w:val="HeaderChar"/>
    <w:rsid w:val="009F69CA"/>
    <w:pPr>
      <w:tabs>
        <w:tab w:val="center" w:pos="4153"/>
        <w:tab w:val="right" w:pos="8306"/>
      </w:tabs>
    </w:pPr>
  </w:style>
  <w:style w:type="character" w:customStyle="1" w:styleId="HeaderChar">
    <w:name w:val="Header Char"/>
    <w:link w:val="Header"/>
    <w:rsid w:val="009F69CA"/>
    <w:rPr>
      <w:rFonts w:ascii="Times New Roman" w:eastAsia="Times New Roman" w:hAnsi="Times New Roman" w:cs="Times New Roman"/>
      <w:sz w:val="20"/>
      <w:szCs w:val="20"/>
      <w:lang w:val="en-GB" w:eastAsia="en-GB"/>
    </w:rPr>
  </w:style>
  <w:style w:type="paragraph" w:styleId="Footer">
    <w:name w:val="footer"/>
    <w:basedOn w:val="Normal"/>
    <w:link w:val="FooterChar"/>
    <w:rsid w:val="009F69CA"/>
    <w:pPr>
      <w:tabs>
        <w:tab w:val="center" w:pos="4153"/>
        <w:tab w:val="right" w:pos="8306"/>
      </w:tabs>
    </w:pPr>
  </w:style>
  <w:style w:type="character" w:customStyle="1" w:styleId="FooterChar">
    <w:name w:val="Footer Char"/>
    <w:link w:val="Footer"/>
    <w:rsid w:val="009F69CA"/>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9F69CA"/>
    <w:pPr>
      <w:spacing w:line="480" w:lineRule="auto"/>
    </w:pPr>
  </w:style>
  <w:style w:type="character" w:customStyle="1" w:styleId="BodyText2Char">
    <w:name w:val="Body Text 2 Char"/>
    <w:link w:val="BodyText2"/>
    <w:rsid w:val="009F69CA"/>
    <w:rPr>
      <w:rFonts w:ascii="Times New Roman" w:eastAsia="Times New Roman" w:hAnsi="Times New Roman" w:cs="Times New Roman"/>
      <w:sz w:val="20"/>
      <w:szCs w:val="20"/>
      <w:lang w:val="en-GB" w:eastAsia="en-GB"/>
    </w:rPr>
  </w:style>
  <w:style w:type="paragraph" w:styleId="ListParagraph">
    <w:name w:val="List Paragraph"/>
    <w:basedOn w:val="Normal"/>
    <w:next w:val="Normal"/>
    <w:link w:val="ListParagraphChar"/>
    <w:uiPriority w:val="34"/>
    <w:qFormat/>
    <w:rsid w:val="007A29B8"/>
    <w:pPr>
      <w:numPr>
        <w:numId w:val="12"/>
      </w:numPr>
      <w:tabs>
        <w:tab w:val="left" w:pos="1134"/>
        <w:tab w:val="left" w:pos="1276"/>
      </w:tabs>
      <w:spacing w:before="0"/>
      <w:ind w:right="57"/>
      <w:jc w:val="left"/>
    </w:pPr>
    <w:rPr>
      <w:rFonts w:eastAsia="Arial" w:cs="Arial"/>
      <w:szCs w:val="22"/>
    </w:rPr>
  </w:style>
  <w:style w:type="character" w:styleId="CommentReference">
    <w:name w:val="annotation reference"/>
    <w:uiPriority w:val="99"/>
    <w:semiHidden/>
    <w:rsid w:val="00581701"/>
    <w:rPr>
      <w:sz w:val="16"/>
      <w:szCs w:val="16"/>
    </w:rPr>
  </w:style>
  <w:style w:type="paragraph" w:customStyle="1" w:styleId="p1">
    <w:name w:val="p1"/>
    <w:basedOn w:val="Normal"/>
    <w:locked/>
    <w:rsid w:val="00581701"/>
    <w:pPr>
      <w:tabs>
        <w:tab w:val="left" w:pos="720"/>
      </w:tabs>
      <w:spacing w:line="240" w:lineRule="atLeast"/>
    </w:pPr>
    <w:rPr>
      <w:sz w:val="24"/>
      <w:lang w:val="en-US"/>
    </w:rPr>
  </w:style>
  <w:style w:type="paragraph" w:styleId="BalloonText">
    <w:name w:val="Balloon Text"/>
    <w:basedOn w:val="Normal"/>
    <w:link w:val="BalloonTextChar"/>
    <w:uiPriority w:val="99"/>
    <w:semiHidden/>
    <w:unhideWhenUsed/>
    <w:rsid w:val="008663DB"/>
    <w:rPr>
      <w:rFonts w:ascii="Tahoma" w:hAnsi="Tahoma" w:cs="Tahoma"/>
      <w:sz w:val="16"/>
      <w:szCs w:val="16"/>
    </w:rPr>
  </w:style>
  <w:style w:type="character" w:customStyle="1" w:styleId="BalloonTextChar">
    <w:name w:val="Balloon Text Char"/>
    <w:link w:val="BalloonText"/>
    <w:uiPriority w:val="99"/>
    <w:semiHidden/>
    <w:rsid w:val="008663DB"/>
    <w:rPr>
      <w:rFonts w:ascii="Tahoma" w:eastAsia="Times New Roman" w:hAnsi="Tahoma" w:cs="Tahoma"/>
      <w:sz w:val="16"/>
      <w:szCs w:val="16"/>
      <w:lang w:val="en-GB" w:eastAsia="en-GB"/>
    </w:rPr>
  </w:style>
  <w:style w:type="table" w:styleId="TableGrid">
    <w:name w:val="Table Grid"/>
    <w:basedOn w:val="TableNormal"/>
    <w:uiPriority w:val="59"/>
    <w:locked/>
    <w:rsid w:val="001624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17548"/>
    <w:rPr>
      <w:color w:val="800080"/>
      <w:u w:val="single"/>
    </w:rPr>
  </w:style>
  <w:style w:type="paragraph" w:styleId="CommentText">
    <w:name w:val="annotation text"/>
    <w:basedOn w:val="Normal"/>
    <w:link w:val="CommentTextChar"/>
    <w:uiPriority w:val="99"/>
    <w:unhideWhenUsed/>
    <w:rsid w:val="007C76A3"/>
  </w:style>
  <w:style w:type="character" w:customStyle="1" w:styleId="CommentTextChar">
    <w:name w:val="Comment Text Char"/>
    <w:link w:val="CommentText"/>
    <w:uiPriority w:val="99"/>
    <w:rsid w:val="007C76A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76A3"/>
    <w:rPr>
      <w:b/>
      <w:bCs/>
    </w:rPr>
  </w:style>
  <w:style w:type="character" w:customStyle="1" w:styleId="CommentSubjectChar">
    <w:name w:val="Comment Subject Char"/>
    <w:link w:val="CommentSubject"/>
    <w:uiPriority w:val="99"/>
    <w:semiHidden/>
    <w:rsid w:val="007C76A3"/>
    <w:rPr>
      <w:rFonts w:ascii="Times New Roman" w:eastAsia="Times New Roman" w:hAnsi="Times New Roman"/>
      <w:b/>
      <w:bCs/>
    </w:rPr>
  </w:style>
  <w:style w:type="character" w:customStyle="1" w:styleId="ListParagraphChar">
    <w:name w:val="List Paragraph Char"/>
    <w:link w:val="ListParagraph"/>
    <w:uiPriority w:val="34"/>
    <w:rsid w:val="007A29B8"/>
    <w:rPr>
      <w:rFonts w:ascii="Arial" w:eastAsia="Arial" w:hAnsi="Arial" w:cs="Arial"/>
      <w:sz w:val="22"/>
      <w:szCs w:val="22"/>
    </w:rPr>
  </w:style>
  <w:style w:type="numbering" w:customStyle="1" w:styleId="List41">
    <w:name w:val="List 41"/>
    <w:locked/>
    <w:rsid w:val="003A4C80"/>
    <w:pPr>
      <w:numPr>
        <w:numId w:val="3"/>
      </w:numPr>
    </w:pPr>
  </w:style>
  <w:style w:type="paragraph" w:styleId="NormalWeb">
    <w:name w:val="Normal (Web)"/>
    <w:basedOn w:val="Normal"/>
    <w:uiPriority w:val="99"/>
    <w:unhideWhenUsed/>
    <w:rsid w:val="002E4B1C"/>
    <w:pPr>
      <w:spacing w:before="100" w:beforeAutospacing="1" w:after="100" w:afterAutospacing="1"/>
    </w:pPr>
    <w:rPr>
      <w:rFonts w:ascii="Times New Roman" w:hAnsi="Times New Roman"/>
      <w:sz w:val="24"/>
      <w:szCs w:val="24"/>
    </w:rPr>
  </w:style>
  <w:style w:type="table" w:styleId="LightList-Accent4">
    <w:name w:val="Light List Accent 4"/>
    <w:basedOn w:val="TableNormal"/>
    <w:uiPriority w:val="61"/>
    <w:locked/>
    <w:rsid w:val="002E4B1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3">
    <w:name w:val="Light Shading Accent 3"/>
    <w:basedOn w:val="TableNormal"/>
    <w:uiPriority w:val="60"/>
    <w:locked/>
    <w:rsid w:val="005F27B2"/>
    <w:pPr>
      <w:spacing w:before="0"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5F27B2"/>
    <w:pPr>
      <w:spacing w:before="0"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Revision">
    <w:name w:val="Revision"/>
    <w:hidden/>
    <w:uiPriority w:val="99"/>
    <w:semiHidden/>
    <w:rsid w:val="00F212C7"/>
    <w:pPr>
      <w:spacing w:before="0" w:after="0"/>
      <w:ind w:left="0" w:firstLine="0"/>
      <w:jc w:val="left"/>
    </w:pPr>
    <w:rPr>
      <w:rFonts w:ascii="Arial" w:eastAsia="Times New Roman" w:hAnsi="Arial"/>
      <w:sz w:val="22"/>
    </w:rPr>
  </w:style>
  <w:style w:type="character" w:customStyle="1" w:styleId="mw-headline">
    <w:name w:val="mw-headline"/>
    <w:basedOn w:val="DefaultParagraphFont"/>
    <w:locked/>
    <w:rsid w:val="00626EE3"/>
  </w:style>
  <w:style w:type="character" w:styleId="Emphasis">
    <w:name w:val="Emphasis"/>
    <w:basedOn w:val="DefaultParagraphFont"/>
    <w:uiPriority w:val="20"/>
    <w:rsid w:val="00DE7086"/>
    <w:rPr>
      <w:i/>
      <w:iCs/>
    </w:rPr>
  </w:style>
  <w:style w:type="paragraph" w:customStyle="1" w:styleId="SectionBodytext">
    <w:name w:val="Section Body text"/>
    <w:basedOn w:val="Normal"/>
    <w:link w:val="SectionBodytextChar"/>
    <w:autoRedefine/>
    <w:qFormat/>
    <w:locked/>
    <w:rsid w:val="002517BF"/>
    <w:pPr>
      <w:spacing w:before="60" w:after="60"/>
    </w:pPr>
    <w:rPr>
      <w:rFonts w:eastAsiaTheme="minorHAnsi" w:cstheme="minorHAnsi"/>
      <w:szCs w:val="22"/>
      <w:lang w:eastAsia="en-US"/>
    </w:rPr>
  </w:style>
  <w:style w:type="character" w:customStyle="1" w:styleId="SectionBodytextChar">
    <w:name w:val="Section Body text Char"/>
    <w:basedOn w:val="DefaultParagraphFont"/>
    <w:link w:val="SectionBodytext"/>
    <w:rsid w:val="002517BF"/>
    <w:rPr>
      <w:rFonts w:ascii="Arial" w:eastAsiaTheme="minorHAnsi" w:hAnsi="Arial" w:cstheme="minorHAnsi"/>
      <w:sz w:val="22"/>
      <w:szCs w:val="22"/>
      <w:lang w:eastAsia="en-US"/>
    </w:rPr>
  </w:style>
  <w:style w:type="character" w:customStyle="1" w:styleId="apple-converted-space">
    <w:name w:val="apple-converted-space"/>
    <w:basedOn w:val="DefaultParagraphFont"/>
    <w:locked/>
    <w:rsid w:val="00880018"/>
  </w:style>
  <w:style w:type="paragraph" w:customStyle="1" w:styleId="ChapterTitle">
    <w:name w:val="ChapterTitle"/>
    <w:basedOn w:val="Normal"/>
    <w:next w:val="Normal"/>
    <w:locked/>
    <w:rsid w:val="00A063BC"/>
    <w:pPr>
      <w:keepNext/>
      <w:spacing w:after="360"/>
      <w:jc w:val="center"/>
    </w:pPr>
    <w:rPr>
      <w:rFonts w:ascii="Times New Roman" w:eastAsia="Calibri" w:hAnsi="Times New Roman"/>
      <w:b/>
      <w:sz w:val="32"/>
      <w:szCs w:val="22"/>
      <w:lang w:eastAsia="fr-FR"/>
    </w:rPr>
  </w:style>
  <w:style w:type="paragraph" w:customStyle="1" w:styleId="SectionTitle">
    <w:name w:val="SectionTitle"/>
    <w:basedOn w:val="Normal"/>
    <w:next w:val="Heading1"/>
    <w:locked/>
    <w:rsid w:val="00A063BC"/>
    <w:pPr>
      <w:keepNext/>
      <w:spacing w:after="360"/>
      <w:jc w:val="center"/>
    </w:pPr>
    <w:rPr>
      <w:rFonts w:ascii="Times New Roman" w:eastAsia="Calibri" w:hAnsi="Times New Roman"/>
      <w:b/>
      <w:smallCaps/>
      <w:sz w:val="28"/>
      <w:szCs w:val="22"/>
      <w:lang w:eastAsia="fr-FR"/>
    </w:rPr>
  </w:style>
  <w:style w:type="paragraph" w:customStyle="1" w:styleId="Tiret0">
    <w:name w:val="Tiret 0"/>
    <w:basedOn w:val="Normal"/>
    <w:locked/>
    <w:rsid w:val="008E7AA4"/>
    <w:pPr>
      <w:numPr>
        <w:numId w:val="5"/>
      </w:numPr>
    </w:pPr>
    <w:rPr>
      <w:rFonts w:ascii="Times New Roman" w:eastAsia="Calibri" w:hAnsi="Times New Roman"/>
      <w:sz w:val="24"/>
      <w:szCs w:val="22"/>
      <w:lang w:eastAsia="fr-FR"/>
    </w:rPr>
  </w:style>
  <w:style w:type="paragraph" w:styleId="NoSpacing">
    <w:name w:val="No Spacing"/>
    <w:uiPriority w:val="1"/>
    <w:qFormat/>
    <w:rsid w:val="000A2658"/>
    <w:pPr>
      <w:spacing w:before="0" w:after="0"/>
    </w:pPr>
    <w:rPr>
      <w:rFonts w:ascii="Arial" w:eastAsia="Times New Roman" w:hAnsi="Arial"/>
      <w:sz w:val="22"/>
    </w:rPr>
  </w:style>
  <w:style w:type="character" w:styleId="Strong">
    <w:name w:val="Strong"/>
    <w:uiPriority w:val="22"/>
    <w:rsid w:val="00A975FF"/>
    <w:rPr>
      <w:b/>
      <w:bCs/>
    </w:rPr>
  </w:style>
  <w:style w:type="paragraph" w:styleId="Subtitle">
    <w:name w:val="Subtitle"/>
    <w:basedOn w:val="Normal"/>
    <w:next w:val="Normal"/>
    <w:link w:val="SubtitleChar"/>
    <w:autoRedefine/>
    <w:uiPriority w:val="11"/>
    <w:qFormat/>
    <w:rsid w:val="004F0169"/>
    <w:pPr>
      <w:numPr>
        <w:ilvl w:val="1"/>
      </w:numPr>
      <w:spacing w:before="0" w:after="480" w:line="259" w:lineRule="auto"/>
      <w:ind w:left="720" w:hanging="720"/>
      <w:jc w:val="center"/>
    </w:pPr>
    <w:rPr>
      <w:rFonts w:eastAsiaTheme="minorEastAsia" w:cstheme="minorBidi"/>
      <w:b/>
      <w:spacing w:val="15"/>
      <w:sz w:val="28"/>
      <w:szCs w:val="22"/>
      <w:lang w:eastAsia="en-US"/>
    </w:rPr>
  </w:style>
  <w:style w:type="character" w:customStyle="1" w:styleId="SubtitleChar">
    <w:name w:val="Subtitle Char"/>
    <w:basedOn w:val="DefaultParagraphFont"/>
    <w:link w:val="Subtitle"/>
    <w:uiPriority w:val="11"/>
    <w:rsid w:val="004F0169"/>
    <w:rPr>
      <w:rFonts w:ascii="Arial" w:eastAsiaTheme="minorEastAsia" w:hAnsi="Arial" w:cstheme="minorBidi"/>
      <w:b/>
      <w:spacing w:val="15"/>
      <w:sz w:val="28"/>
      <w:szCs w:val="22"/>
      <w:lang w:eastAsia="en-US"/>
    </w:rPr>
  </w:style>
  <w:style w:type="character" w:customStyle="1" w:styleId="Heading4Char">
    <w:name w:val="Heading 4 Char"/>
    <w:basedOn w:val="DefaultParagraphFont"/>
    <w:link w:val="Heading4"/>
    <w:uiPriority w:val="9"/>
    <w:rsid w:val="0013037E"/>
    <w:rPr>
      <w:rFonts w:ascii="Arial" w:eastAsia="Times New Roman" w:hAnsi="Arial"/>
      <w:kern w:val="24"/>
      <w:sz w:val="22"/>
    </w:rPr>
  </w:style>
  <w:style w:type="character" w:customStyle="1" w:styleId="Heading5Char">
    <w:name w:val="Heading 5 Char"/>
    <w:basedOn w:val="DefaultParagraphFont"/>
    <w:link w:val="Heading5"/>
    <w:uiPriority w:val="9"/>
    <w:semiHidden/>
    <w:rsid w:val="00D353C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353CF"/>
    <w:rPr>
      <w:rFonts w:asciiTheme="majorHAnsi" w:eastAsiaTheme="majorEastAsia" w:hAnsiTheme="majorHAnsi" w:cstheme="majorBidi"/>
      <w:color w:val="243F60" w:themeColor="accent1" w:themeShade="7F"/>
      <w:sz w:val="22"/>
    </w:rPr>
  </w:style>
  <w:style w:type="paragraph" w:customStyle="1" w:styleId="Heading81">
    <w:name w:val="Heading 81"/>
    <w:basedOn w:val="Normal"/>
    <w:next w:val="Normal"/>
    <w:uiPriority w:val="9"/>
    <w:semiHidden/>
    <w:unhideWhenUsed/>
    <w:qFormat/>
    <w:locked/>
    <w:rsid w:val="00DB5101"/>
    <w:pPr>
      <w:keepNext/>
      <w:keepLines/>
      <w:spacing w:before="200" w:after="0" w:line="259" w:lineRule="auto"/>
      <w:outlineLvl w:val="7"/>
    </w:pPr>
    <w:rPr>
      <w:rFonts w:ascii="Calibri Light" w:eastAsia="MS Gothic" w:hAnsi="Calibri Light"/>
      <w:color w:val="404040"/>
      <w:sz w:val="20"/>
      <w:lang w:eastAsia="en-US"/>
    </w:rPr>
  </w:style>
  <w:style w:type="paragraph" w:customStyle="1" w:styleId="Heading91">
    <w:name w:val="Heading 91"/>
    <w:basedOn w:val="Normal"/>
    <w:next w:val="Normal"/>
    <w:uiPriority w:val="9"/>
    <w:semiHidden/>
    <w:unhideWhenUsed/>
    <w:qFormat/>
    <w:locked/>
    <w:rsid w:val="00DB5101"/>
    <w:pPr>
      <w:keepNext/>
      <w:keepLines/>
      <w:spacing w:before="200" w:after="0" w:line="259" w:lineRule="auto"/>
      <w:outlineLvl w:val="8"/>
    </w:pPr>
    <w:rPr>
      <w:rFonts w:ascii="Calibri Light" w:eastAsia="MS Gothic" w:hAnsi="Calibri Light"/>
      <w:i/>
      <w:iCs/>
      <w:color w:val="404040"/>
      <w:sz w:val="20"/>
      <w:lang w:eastAsia="en-US"/>
    </w:rPr>
  </w:style>
  <w:style w:type="table" w:customStyle="1" w:styleId="TableGrid1">
    <w:name w:val="Table Grid1"/>
    <w:basedOn w:val="TableNormal"/>
    <w:next w:val="TableGrid"/>
    <w:uiPriority w:val="39"/>
    <w:locked/>
    <w:rsid w:val="00DB5101"/>
    <w:pPr>
      <w:spacing w:before="0" w:after="0"/>
      <w:ind w:left="0" w:firstLine="0"/>
      <w:jc w:val="left"/>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8E77B8"/>
    <w:pPr>
      <w:spacing w:before="0" w:after="0"/>
      <w:ind w:left="0" w:firstLine="0"/>
      <w:jc w:val="left"/>
    </w:pPr>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16F8D"/>
    <w:rPr>
      <w:sz w:val="16"/>
      <w:szCs w:val="16"/>
    </w:rPr>
  </w:style>
  <w:style w:type="character" w:customStyle="1" w:styleId="BodyText3Char">
    <w:name w:val="Body Text 3 Char"/>
    <w:basedOn w:val="DefaultParagraphFont"/>
    <w:link w:val="BodyText3"/>
    <w:uiPriority w:val="99"/>
    <w:rsid w:val="00216F8D"/>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17">
      <w:bodyDiv w:val="1"/>
      <w:marLeft w:val="0"/>
      <w:marRight w:val="0"/>
      <w:marTop w:val="0"/>
      <w:marBottom w:val="0"/>
      <w:divBdr>
        <w:top w:val="none" w:sz="0" w:space="0" w:color="auto"/>
        <w:left w:val="none" w:sz="0" w:space="0" w:color="auto"/>
        <w:bottom w:val="none" w:sz="0" w:space="0" w:color="auto"/>
        <w:right w:val="none" w:sz="0" w:space="0" w:color="auto"/>
      </w:divBdr>
      <w:divsChild>
        <w:div w:id="855769148">
          <w:marLeft w:val="547"/>
          <w:marRight w:val="0"/>
          <w:marTop w:val="122"/>
          <w:marBottom w:val="0"/>
          <w:divBdr>
            <w:top w:val="none" w:sz="0" w:space="0" w:color="auto"/>
            <w:left w:val="none" w:sz="0" w:space="0" w:color="auto"/>
            <w:bottom w:val="none" w:sz="0" w:space="0" w:color="auto"/>
            <w:right w:val="none" w:sz="0" w:space="0" w:color="auto"/>
          </w:divBdr>
        </w:div>
      </w:divsChild>
    </w:div>
    <w:div w:id="22051764">
      <w:bodyDiv w:val="1"/>
      <w:marLeft w:val="0"/>
      <w:marRight w:val="0"/>
      <w:marTop w:val="0"/>
      <w:marBottom w:val="0"/>
      <w:divBdr>
        <w:top w:val="none" w:sz="0" w:space="0" w:color="auto"/>
        <w:left w:val="none" w:sz="0" w:space="0" w:color="auto"/>
        <w:bottom w:val="none" w:sz="0" w:space="0" w:color="auto"/>
        <w:right w:val="none" w:sz="0" w:space="0" w:color="auto"/>
      </w:divBdr>
    </w:div>
    <w:div w:id="24718984">
      <w:bodyDiv w:val="1"/>
      <w:marLeft w:val="0"/>
      <w:marRight w:val="0"/>
      <w:marTop w:val="0"/>
      <w:marBottom w:val="0"/>
      <w:divBdr>
        <w:top w:val="none" w:sz="0" w:space="0" w:color="auto"/>
        <w:left w:val="none" w:sz="0" w:space="0" w:color="auto"/>
        <w:bottom w:val="none" w:sz="0" w:space="0" w:color="auto"/>
        <w:right w:val="none" w:sz="0" w:space="0" w:color="auto"/>
      </w:divBdr>
      <w:divsChild>
        <w:div w:id="416948967">
          <w:marLeft w:val="547"/>
          <w:marRight w:val="0"/>
          <w:marTop w:val="0"/>
          <w:marBottom w:val="0"/>
          <w:divBdr>
            <w:top w:val="none" w:sz="0" w:space="0" w:color="auto"/>
            <w:left w:val="none" w:sz="0" w:space="0" w:color="auto"/>
            <w:bottom w:val="none" w:sz="0" w:space="0" w:color="auto"/>
            <w:right w:val="none" w:sz="0" w:space="0" w:color="auto"/>
          </w:divBdr>
        </w:div>
      </w:divsChild>
    </w:div>
    <w:div w:id="86998783">
      <w:bodyDiv w:val="1"/>
      <w:marLeft w:val="0"/>
      <w:marRight w:val="0"/>
      <w:marTop w:val="0"/>
      <w:marBottom w:val="0"/>
      <w:divBdr>
        <w:top w:val="none" w:sz="0" w:space="0" w:color="auto"/>
        <w:left w:val="none" w:sz="0" w:space="0" w:color="auto"/>
        <w:bottom w:val="none" w:sz="0" w:space="0" w:color="auto"/>
        <w:right w:val="none" w:sz="0" w:space="0" w:color="auto"/>
      </w:divBdr>
    </w:div>
    <w:div w:id="106855045">
      <w:bodyDiv w:val="1"/>
      <w:marLeft w:val="0"/>
      <w:marRight w:val="0"/>
      <w:marTop w:val="0"/>
      <w:marBottom w:val="0"/>
      <w:divBdr>
        <w:top w:val="none" w:sz="0" w:space="0" w:color="auto"/>
        <w:left w:val="none" w:sz="0" w:space="0" w:color="auto"/>
        <w:bottom w:val="none" w:sz="0" w:space="0" w:color="auto"/>
        <w:right w:val="none" w:sz="0" w:space="0" w:color="auto"/>
      </w:divBdr>
    </w:div>
    <w:div w:id="206913878">
      <w:bodyDiv w:val="1"/>
      <w:marLeft w:val="0"/>
      <w:marRight w:val="0"/>
      <w:marTop w:val="0"/>
      <w:marBottom w:val="0"/>
      <w:divBdr>
        <w:top w:val="none" w:sz="0" w:space="0" w:color="auto"/>
        <w:left w:val="none" w:sz="0" w:space="0" w:color="auto"/>
        <w:bottom w:val="none" w:sz="0" w:space="0" w:color="auto"/>
        <w:right w:val="none" w:sz="0" w:space="0" w:color="auto"/>
      </w:divBdr>
    </w:div>
    <w:div w:id="251017200">
      <w:bodyDiv w:val="1"/>
      <w:marLeft w:val="0"/>
      <w:marRight w:val="0"/>
      <w:marTop w:val="0"/>
      <w:marBottom w:val="0"/>
      <w:divBdr>
        <w:top w:val="none" w:sz="0" w:space="0" w:color="auto"/>
        <w:left w:val="none" w:sz="0" w:space="0" w:color="auto"/>
        <w:bottom w:val="none" w:sz="0" w:space="0" w:color="auto"/>
        <w:right w:val="none" w:sz="0" w:space="0" w:color="auto"/>
      </w:divBdr>
    </w:div>
    <w:div w:id="283004084">
      <w:bodyDiv w:val="1"/>
      <w:marLeft w:val="0"/>
      <w:marRight w:val="0"/>
      <w:marTop w:val="0"/>
      <w:marBottom w:val="0"/>
      <w:divBdr>
        <w:top w:val="none" w:sz="0" w:space="0" w:color="auto"/>
        <w:left w:val="none" w:sz="0" w:space="0" w:color="auto"/>
        <w:bottom w:val="none" w:sz="0" w:space="0" w:color="auto"/>
        <w:right w:val="none" w:sz="0" w:space="0" w:color="auto"/>
      </w:divBdr>
    </w:div>
    <w:div w:id="287778960">
      <w:bodyDiv w:val="1"/>
      <w:marLeft w:val="0"/>
      <w:marRight w:val="0"/>
      <w:marTop w:val="0"/>
      <w:marBottom w:val="0"/>
      <w:divBdr>
        <w:top w:val="none" w:sz="0" w:space="0" w:color="auto"/>
        <w:left w:val="none" w:sz="0" w:space="0" w:color="auto"/>
        <w:bottom w:val="none" w:sz="0" w:space="0" w:color="auto"/>
        <w:right w:val="none" w:sz="0" w:space="0" w:color="auto"/>
      </w:divBdr>
    </w:div>
    <w:div w:id="359212220">
      <w:bodyDiv w:val="1"/>
      <w:marLeft w:val="0"/>
      <w:marRight w:val="0"/>
      <w:marTop w:val="0"/>
      <w:marBottom w:val="0"/>
      <w:divBdr>
        <w:top w:val="none" w:sz="0" w:space="0" w:color="auto"/>
        <w:left w:val="none" w:sz="0" w:space="0" w:color="auto"/>
        <w:bottom w:val="none" w:sz="0" w:space="0" w:color="auto"/>
        <w:right w:val="none" w:sz="0" w:space="0" w:color="auto"/>
      </w:divBdr>
    </w:div>
    <w:div w:id="529686685">
      <w:bodyDiv w:val="1"/>
      <w:marLeft w:val="0"/>
      <w:marRight w:val="0"/>
      <w:marTop w:val="0"/>
      <w:marBottom w:val="0"/>
      <w:divBdr>
        <w:top w:val="none" w:sz="0" w:space="0" w:color="auto"/>
        <w:left w:val="none" w:sz="0" w:space="0" w:color="auto"/>
        <w:bottom w:val="none" w:sz="0" w:space="0" w:color="auto"/>
        <w:right w:val="none" w:sz="0" w:space="0" w:color="auto"/>
      </w:divBdr>
    </w:div>
    <w:div w:id="574973429">
      <w:bodyDiv w:val="1"/>
      <w:marLeft w:val="0"/>
      <w:marRight w:val="0"/>
      <w:marTop w:val="0"/>
      <w:marBottom w:val="0"/>
      <w:divBdr>
        <w:top w:val="none" w:sz="0" w:space="0" w:color="auto"/>
        <w:left w:val="none" w:sz="0" w:space="0" w:color="auto"/>
        <w:bottom w:val="none" w:sz="0" w:space="0" w:color="auto"/>
        <w:right w:val="none" w:sz="0" w:space="0" w:color="auto"/>
      </w:divBdr>
    </w:div>
    <w:div w:id="588084066">
      <w:bodyDiv w:val="1"/>
      <w:marLeft w:val="0"/>
      <w:marRight w:val="0"/>
      <w:marTop w:val="0"/>
      <w:marBottom w:val="0"/>
      <w:divBdr>
        <w:top w:val="none" w:sz="0" w:space="0" w:color="auto"/>
        <w:left w:val="none" w:sz="0" w:space="0" w:color="auto"/>
        <w:bottom w:val="none" w:sz="0" w:space="0" w:color="auto"/>
        <w:right w:val="none" w:sz="0" w:space="0" w:color="auto"/>
      </w:divBdr>
      <w:divsChild>
        <w:div w:id="1349715612">
          <w:marLeft w:val="1166"/>
          <w:marRight w:val="0"/>
          <w:marTop w:val="0"/>
          <w:marBottom w:val="80"/>
          <w:divBdr>
            <w:top w:val="none" w:sz="0" w:space="0" w:color="auto"/>
            <w:left w:val="none" w:sz="0" w:space="0" w:color="auto"/>
            <w:bottom w:val="none" w:sz="0" w:space="0" w:color="auto"/>
            <w:right w:val="none" w:sz="0" w:space="0" w:color="auto"/>
          </w:divBdr>
        </w:div>
      </w:divsChild>
    </w:div>
    <w:div w:id="596717427">
      <w:bodyDiv w:val="1"/>
      <w:marLeft w:val="0"/>
      <w:marRight w:val="0"/>
      <w:marTop w:val="0"/>
      <w:marBottom w:val="0"/>
      <w:divBdr>
        <w:top w:val="none" w:sz="0" w:space="0" w:color="auto"/>
        <w:left w:val="none" w:sz="0" w:space="0" w:color="auto"/>
        <w:bottom w:val="none" w:sz="0" w:space="0" w:color="auto"/>
        <w:right w:val="none" w:sz="0" w:space="0" w:color="auto"/>
      </w:divBdr>
      <w:divsChild>
        <w:div w:id="159390702">
          <w:marLeft w:val="1166"/>
          <w:marRight w:val="0"/>
          <w:marTop w:val="77"/>
          <w:marBottom w:val="0"/>
          <w:divBdr>
            <w:top w:val="none" w:sz="0" w:space="0" w:color="auto"/>
            <w:left w:val="none" w:sz="0" w:space="0" w:color="auto"/>
            <w:bottom w:val="none" w:sz="0" w:space="0" w:color="auto"/>
            <w:right w:val="none" w:sz="0" w:space="0" w:color="auto"/>
          </w:divBdr>
        </w:div>
        <w:div w:id="307169577">
          <w:marLeft w:val="1166"/>
          <w:marRight w:val="0"/>
          <w:marTop w:val="77"/>
          <w:marBottom w:val="0"/>
          <w:divBdr>
            <w:top w:val="none" w:sz="0" w:space="0" w:color="auto"/>
            <w:left w:val="none" w:sz="0" w:space="0" w:color="auto"/>
            <w:bottom w:val="none" w:sz="0" w:space="0" w:color="auto"/>
            <w:right w:val="none" w:sz="0" w:space="0" w:color="auto"/>
          </w:divBdr>
        </w:div>
        <w:div w:id="463622341">
          <w:marLeft w:val="1166"/>
          <w:marRight w:val="0"/>
          <w:marTop w:val="77"/>
          <w:marBottom w:val="0"/>
          <w:divBdr>
            <w:top w:val="none" w:sz="0" w:space="0" w:color="auto"/>
            <w:left w:val="none" w:sz="0" w:space="0" w:color="auto"/>
            <w:bottom w:val="none" w:sz="0" w:space="0" w:color="auto"/>
            <w:right w:val="none" w:sz="0" w:space="0" w:color="auto"/>
          </w:divBdr>
        </w:div>
        <w:div w:id="934702609">
          <w:marLeft w:val="1166"/>
          <w:marRight w:val="0"/>
          <w:marTop w:val="77"/>
          <w:marBottom w:val="0"/>
          <w:divBdr>
            <w:top w:val="none" w:sz="0" w:space="0" w:color="auto"/>
            <w:left w:val="none" w:sz="0" w:space="0" w:color="auto"/>
            <w:bottom w:val="none" w:sz="0" w:space="0" w:color="auto"/>
            <w:right w:val="none" w:sz="0" w:space="0" w:color="auto"/>
          </w:divBdr>
        </w:div>
      </w:divsChild>
    </w:div>
    <w:div w:id="603074170">
      <w:bodyDiv w:val="1"/>
      <w:marLeft w:val="0"/>
      <w:marRight w:val="0"/>
      <w:marTop w:val="0"/>
      <w:marBottom w:val="0"/>
      <w:divBdr>
        <w:top w:val="none" w:sz="0" w:space="0" w:color="auto"/>
        <w:left w:val="none" w:sz="0" w:space="0" w:color="auto"/>
        <w:bottom w:val="none" w:sz="0" w:space="0" w:color="auto"/>
        <w:right w:val="none" w:sz="0" w:space="0" w:color="auto"/>
      </w:divBdr>
    </w:div>
    <w:div w:id="607615900">
      <w:bodyDiv w:val="1"/>
      <w:marLeft w:val="0"/>
      <w:marRight w:val="0"/>
      <w:marTop w:val="0"/>
      <w:marBottom w:val="0"/>
      <w:divBdr>
        <w:top w:val="none" w:sz="0" w:space="0" w:color="auto"/>
        <w:left w:val="none" w:sz="0" w:space="0" w:color="auto"/>
        <w:bottom w:val="none" w:sz="0" w:space="0" w:color="auto"/>
        <w:right w:val="none" w:sz="0" w:space="0" w:color="auto"/>
      </w:divBdr>
    </w:div>
    <w:div w:id="635571783">
      <w:bodyDiv w:val="1"/>
      <w:marLeft w:val="0"/>
      <w:marRight w:val="0"/>
      <w:marTop w:val="0"/>
      <w:marBottom w:val="0"/>
      <w:divBdr>
        <w:top w:val="none" w:sz="0" w:space="0" w:color="auto"/>
        <w:left w:val="none" w:sz="0" w:space="0" w:color="auto"/>
        <w:bottom w:val="none" w:sz="0" w:space="0" w:color="auto"/>
        <w:right w:val="none" w:sz="0" w:space="0" w:color="auto"/>
      </w:divBdr>
    </w:div>
    <w:div w:id="638925859">
      <w:bodyDiv w:val="1"/>
      <w:marLeft w:val="0"/>
      <w:marRight w:val="0"/>
      <w:marTop w:val="0"/>
      <w:marBottom w:val="0"/>
      <w:divBdr>
        <w:top w:val="none" w:sz="0" w:space="0" w:color="auto"/>
        <w:left w:val="none" w:sz="0" w:space="0" w:color="auto"/>
        <w:bottom w:val="none" w:sz="0" w:space="0" w:color="auto"/>
        <w:right w:val="none" w:sz="0" w:space="0" w:color="auto"/>
      </w:divBdr>
    </w:div>
    <w:div w:id="643045070">
      <w:bodyDiv w:val="1"/>
      <w:marLeft w:val="0"/>
      <w:marRight w:val="0"/>
      <w:marTop w:val="0"/>
      <w:marBottom w:val="0"/>
      <w:divBdr>
        <w:top w:val="none" w:sz="0" w:space="0" w:color="auto"/>
        <w:left w:val="none" w:sz="0" w:space="0" w:color="auto"/>
        <w:bottom w:val="none" w:sz="0" w:space="0" w:color="auto"/>
        <w:right w:val="none" w:sz="0" w:space="0" w:color="auto"/>
      </w:divBdr>
    </w:div>
    <w:div w:id="709115727">
      <w:bodyDiv w:val="1"/>
      <w:marLeft w:val="0"/>
      <w:marRight w:val="0"/>
      <w:marTop w:val="0"/>
      <w:marBottom w:val="0"/>
      <w:divBdr>
        <w:top w:val="none" w:sz="0" w:space="0" w:color="auto"/>
        <w:left w:val="none" w:sz="0" w:space="0" w:color="auto"/>
        <w:bottom w:val="none" w:sz="0" w:space="0" w:color="auto"/>
        <w:right w:val="none" w:sz="0" w:space="0" w:color="auto"/>
      </w:divBdr>
    </w:div>
    <w:div w:id="718432885">
      <w:bodyDiv w:val="1"/>
      <w:marLeft w:val="0"/>
      <w:marRight w:val="0"/>
      <w:marTop w:val="0"/>
      <w:marBottom w:val="0"/>
      <w:divBdr>
        <w:top w:val="none" w:sz="0" w:space="0" w:color="auto"/>
        <w:left w:val="none" w:sz="0" w:space="0" w:color="auto"/>
        <w:bottom w:val="none" w:sz="0" w:space="0" w:color="auto"/>
        <w:right w:val="none" w:sz="0" w:space="0" w:color="auto"/>
      </w:divBdr>
      <w:divsChild>
        <w:div w:id="1422725312">
          <w:marLeft w:val="547"/>
          <w:marRight w:val="0"/>
          <w:marTop w:val="67"/>
          <w:marBottom w:val="120"/>
          <w:divBdr>
            <w:top w:val="none" w:sz="0" w:space="0" w:color="auto"/>
            <w:left w:val="none" w:sz="0" w:space="0" w:color="auto"/>
            <w:bottom w:val="none" w:sz="0" w:space="0" w:color="auto"/>
            <w:right w:val="none" w:sz="0" w:space="0" w:color="auto"/>
          </w:divBdr>
        </w:div>
      </w:divsChild>
    </w:div>
    <w:div w:id="729960218">
      <w:bodyDiv w:val="1"/>
      <w:marLeft w:val="0"/>
      <w:marRight w:val="0"/>
      <w:marTop w:val="0"/>
      <w:marBottom w:val="0"/>
      <w:divBdr>
        <w:top w:val="none" w:sz="0" w:space="0" w:color="auto"/>
        <w:left w:val="none" w:sz="0" w:space="0" w:color="auto"/>
        <w:bottom w:val="none" w:sz="0" w:space="0" w:color="auto"/>
        <w:right w:val="none" w:sz="0" w:space="0" w:color="auto"/>
      </w:divBdr>
    </w:div>
    <w:div w:id="739518946">
      <w:bodyDiv w:val="1"/>
      <w:marLeft w:val="0"/>
      <w:marRight w:val="0"/>
      <w:marTop w:val="0"/>
      <w:marBottom w:val="0"/>
      <w:divBdr>
        <w:top w:val="none" w:sz="0" w:space="0" w:color="auto"/>
        <w:left w:val="none" w:sz="0" w:space="0" w:color="auto"/>
        <w:bottom w:val="none" w:sz="0" w:space="0" w:color="auto"/>
        <w:right w:val="none" w:sz="0" w:space="0" w:color="auto"/>
      </w:divBdr>
    </w:div>
    <w:div w:id="754017838">
      <w:bodyDiv w:val="1"/>
      <w:marLeft w:val="0"/>
      <w:marRight w:val="0"/>
      <w:marTop w:val="0"/>
      <w:marBottom w:val="0"/>
      <w:divBdr>
        <w:top w:val="none" w:sz="0" w:space="0" w:color="auto"/>
        <w:left w:val="none" w:sz="0" w:space="0" w:color="auto"/>
        <w:bottom w:val="none" w:sz="0" w:space="0" w:color="auto"/>
        <w:right w:val="none" w:sz="0" w:space="0" w:color="auto"/>
      </w:divBdr>
    </w:div>
    <w:div w:id="778909552">
      <w:bodyDiv w:val="1"/>
      <w:marLeft w:val="0"/>
      <w:marRight w:val="0"/>
      <w:marTop w:val="0"/>
      <w:marBottom w:val="0"/>
      <w:divBdr>
        <w:top w:val="none" w:sz="0" w:space="0" w:color="auto"/>
        <w:left w:val="none" w:sz="0" w:space="0" w:color="auto"/>
        <w:bottom w:val="none" w:sz="0" w:space="0" w:color="auto"/>
        <w:right w:val="none" w:sz="0" w:space="0" w:color="auto"/>
      </w:divBdr>
    </w:div>
    <w:div w:id="785269901">
      <w:bodyDiv w:val="1"/>
      <w:marLeft w:val="0"/>
      <w:marRight w:val="0"/>
      <w:marTop w:val="0"/>
      <w:marBottom w:val="0"/>
      <w:divBdr>
        <w:top w:val="none" w:sz="0" w:space="0" w:color="auto"/>
        <w:left w:val="none" w:sz="0" w:space="0" w:color="auto"/>
        <w:bottom w:val="none" w:sz="0" w:space="0" w:color="auto"/>
        <w:right w:val="none" w:sz="0" w:space="0" w:color="auto"/>
      </w:divBdr>
    </w:div>
    <w:div w:id="790561251">
      <w:bodyDiv w:val="1"/>
      <w:marLeft w:val="0"/>
      <w:marRight w:val="0"/>
      <w:marTop w:val="0"/>
      <w:marBottom w:val="0"/>
      <w:divBdr>
        <w:top w:val="none" w:sz="0" w:space="0" w:color="auto"/>
        <w:left w:val="none" w:sz="0" w:space="0" w:color="auto"/>
        <w:bottom w:val="none" w:sz="0" w:space="0" w:color="auto"/>
        <w:right w:val="none" w:sz="0" w:space="0" w:color="auto"/>
      </w:divBdr>
    </w:div>
    <w:div w:id="807164452">
      <w:bodyDiv w:val="1"/>
      <w:marLeft w:val="0"/>
      <w:marRight w:val="0"/>
      <w:marTop w:val="0"/>
      <w:marBottom w:val="0"/>
      <w:divBdr>
        <w:top w:val="none" w:sz="0" w:space="0" w:color="auto"/>
        <w:left w:val="none" w:sz="0" w:space="0" w:color="auto"/>
        <w:bottom w:val="none" w:sz="0" w:space="0" w:color="auto"/>
        <w:right w:val="none" w:sz="0" w:space="0" w:color="auto"/>
      </w:divBdr>
    </w:div>
    <w:div w:id="835652482">
      <w:bodyDiv w:val="1"/>
      <w:marLeft w:val="0"/>
      <w:marRight w:val="0"/>
      <w:marTop w:val="0"/>
      <w:marBottom w:val="0"/>
      <w:divBdr>
        <w:top w:val="none" w:sz="0" w:space="0" w:color="auto"/>
        <w:left w:val="none" w:sz="0" w:space="0" w:color="auto"/>
        <w:bottom w:val="none" w:sz="0" w:space="0" w:color="auto"/>
        <w:right w:val="none" w:sz="0" w:space="0" w:color="auto"/>
      </w:divBdr>
    </w:div>
    <w:div w:id="838229611">
      <w:bodyDiv w:val="1"/>
      <w:marLeft w:val="0"/>
      <w:marRight w:val="0"/>
      <w:marTop w:val="0"/>
      <w:marBottom w:val="0"/>
      <w:divBdr>
        <w:top w:val="none" w:sz="0" w:space="0" w:color="auto"/>
        <w:left w:val="none" w:sz="0" w:space="0" w:color="auto"/>
        <w:bottom w:val="none" w:sz="0" w:space="0" w:color="auto"/>
        <w:right w:val="none" w:sz="0" w:space="0" w:color="auto"/>
      </w:divBdr>
    </w:div>
    <w:div w:id="849609742">
      <w:bodyDiv w:val="1"/>
      <w:marLeft w:val="0"/>
      <w:marRight w:val="0"/>
      <w:marTop w:val="0"/>
      <w:marBottom w:val="0"/>
      <w:divBdr>
        <w:top w:val="none" w:sz="0" w:space="0" w:color="auto"/>
        <w:left w:val="none" w:sz="0" w:space="0" w:color="auto"/>
        <w:bottom w:val="none" w:sz="0" w:space="0" w:color="auto"/>
        <w:right w:val="none" w:sz="0" w:space="0" w:color="auto"/>
      </w:divBdr>
    </w:div>
    <w:div w:id="868179413">
      <w:bodyDiv w:val="1"/>
      <w:marLeft w:val="0"/>
      <w:marRight w:val="0"/>
      <w:marTop w:val="0"/>
      <w:marBottom w:val="0"/>
      <w:divBdr>
        <w:top w:val="none" w:sz="0" w:space="0" w:color="auto"/>
        <w:left w:val="none" w:sz="0" w:space="0" w:color="auto"/>
        <w:bottom w:val="none" w:sz="0" w:space="0" w:color="auto"/>
        <w:right w:val="none" w:sz="0" w:space="0" w:color="auto"/>
      </w:divBdr>
    </w:div>
    <w:div w:id="870532451">
      <w:bodyDiv w:val="1"/>
      <w:marLeft w:val="0"/>
      <w:marRight w:val="0"/>
      <w:marTop w:val="0"/>
      <w:marBottom w:val="0"/>
      <w:divBdr>
        <w:top w:val="none" w:sz="0" w:space="0" w:color="auto"/>
        <w:left w:val="none" w:sz="0" w:space="0" w:color="auto"/>
        <w:bottom w:val="none" w:sz="0" w:space="0" w:color="auto"/>
        <w:right w:val="none" w:sz="0" w:space="0" w:color="auto"/>
      </w:divBdr>
    </w:div>
    <w:div w:id="877547294">
      <w:bodyDiv w:val="1"/>
      <w:marLeft w:val="0"/>
      <w:marRight w:val="0"/>
      <w:marTop w:val="0"/>
      <w:marBottom w:val="0"/>
      <w:divBdr>
        <w:top w:val="none" w:sz="0" w:space="0" w:color="auto"/>
        <w:left w:val="none" w:sz="0" w:space="0" w:color="auto"/>
        <w:bottom w:val="none" w:sz="0" w:space="0" w:color="auto"/>
        <w:right w:val="none" w:sz="0" w:space="0" w:color="auto"/>
      </w:divBdr>
    </w:div>
    <w:div w:id="904266843">
      <w:bodyDiv w:val="1"/>
      <w:marLeft w:val="0"/>
      <w:marRight w:val="0"/>
      <w:marTop w:val="0"/>
      <w:marBottom w:val="0"/>
      <w:divBdr>
        <w:top w:val="none" w:sz="0" w:space="0" w:color="auto"/>
        <w:left w:val="none" w:sz="0" w:space="0" w:color="auto"/>
        <w:bottom w:val="none" w:sz="0" w:space="0" w:color="auto"/>
        <w:right w:val="none" w:sz="0" w:space="0" w:color="auto"/>
      </w:divBdr>
      <w:divsChild>
        <w:div w:id="417412995">
          <w:marLeft w:val="547"/>
          <w:marRight w:val="0"/>
          <w:marTop w:val="58"/>
          <w:marBottom w:val="0"/>
          <w:divBdr>
            <w:top w:val="none" w:sz="0" w:space="0" w:color="auto"/>
            <w:left w:val="none" w:sz="0" w:space="0" w:color="auto"/>
            <w:bottom w:val="none" w:sz="0" w:space="0" w:color="auto"/>
            <w:right w:val="none" w:sz="0" w:space="0" w:color="auto"/>
          </w:divBdr>
        </w:div>
      </w:divsChild>
    </w:div>
    <w:div w:id="906185941">
      <w:bodyDiv w:val="1"/>
      <w:marLeft w:val="0"/>
      <w:marRight w:val="0"/>
      <w:marTop w:val="0"/>
      <w:marBottom w:val="0"/>
      <w:divBdr>
        <w:top w:val="none" w:sz="0" w:space="0" w:color="auto"/>
        <w:left w:val="none" w:sz="0" w:space="0" w:color="auto"/>
        <w:bottom w:val="none" w:sz="0" w:space="0" w:color="auto"/>
        <w:right w:val="none" w:sz="0" w:space="0" w:color="auto"/>
      </w:divBdr>
    </w:div>
    <w:div w:id="940063744">
      <w:bodyDiv w:val="1"/>
      <w:marLeft w:val="0"/>
      <w:marRight w:val="0"/>
      <w:marTop w:val="0"/>
      <w:marBottom w:val="0"/>
      <w:divBdr>
        <w:top w:val="none" w:sz="0" w:space="0" w:color="auto"/>
        <w:left w:val="none" w:sz="0" w:space="0" w:color="auto"/>
        <w:bottom w:val="none" w:sz="0" w:space="0" w:color="auto"/>
        <w:right w:val="none" w:sz="0" w:space="0" w:color="auto"/>
      </w:divBdr>
    </w:div>
    <w:div w:id="947736044">
      <w:bodyDiv w:val="1"/>
      <w:marLeft w:val="0"/>
      <w:marRight w:val="0"/>
      <w:marTop w:val="0"/>
      <w:marBottom w:val="0"/>
      <w:divBdr>
        <w:top w:val="none" w:sz="0" w:space="0" w:color="auto"/>
        <w:left w:val="none" w:sz="0" w:space="0" w:color="auto"/>
        <w:bottom w:val="none" w:sz="0" w:space="0" w:color="auto"/>
        <w:right w:val="none" w:sz="0" w:space="0" w:color="auto"/>
      </w:divBdr>
    </w:div>
    <w:div w:id="984823774">
      <w:bodyDiv w:val="1"/>
      <w:marLeft w:val="0"/>
      <w:marRight w:val="0"/>
      <w:marTop w:val="0"/>
      <w:marBottom w:val="0"/>
      <w:divBdr>
        <w:top w:val="none" w:sz="0" w:space="0" w:color="auto"/>
        <w:left w:val="none" w:sz="0" w:space="0" w:color="auto"/>
        <w:bottom w:val="none" w:sz="0" w:space="0" w:color="auto"/>
        <w:right w:val="none" w:sz="0" w:space="0" w:color="auto"/>
      </w:divBdr>
    </w:div>
    <w:div w:id="985206228">
      <w:bodyDiv w:val="1"/>
      <w:marLeft w:val="0"/>
      <w:marRight w:val="0"/>
      <w:marTop w:val="0"/>
      <w:marBottom w:val="0"/>
      <w:divBdr>
        <w:top w:val="none" w:sz="0" w:space="0" w:color="auto"/>
        <w:left w:val="none" w:sz="0" w:space="0" w:color="auto"/>
        <w:bottom w:val="none" w:sz="0" w:space="0" w:color="auto"/>
        <w:right w:val="none" w:sz="0" w:space="0" w:color="auto"/>
      </w:divBdr>
    </w:div>
    <w:div w:id="1013647698">
      <w:bodyDiv w:val="1"/>
      <w:marLeft w:val="0"/>
      <w:marRight w:val="0"/>
      <w:marTop w:val="0"/>
      <w:marBottom w:val="0"/>
      <w:divBdr>
        <w:top w:val="none" w:sz="0" w:space="0" w:color="auto"/>
        <w:left w:val="none" w:sz="0" w:space="0" w:color="auto"/>
        <w:bottom w:val="none" w:sz="0" w:space="0" w:color="auto"/>
        <w:right w:val="none" w:sz="0" w:space="0" w:color="auto"/>
      </w:divBdr>
    </w:div>
    <w:div w:id="1036660628">
      <w:bodyDiv w:val="1"/>
      <w:marLeft w:val="0"/>
      <w:marRight w:val="0"/>
      <w:marTop w:val="0"/>
      <w:marBottom w:val="0"/>
      <w:divBdr>
        <w:top w:val="none" w:sz="0" w:space="0" w:color="auto"/>
        <w:left w:val="none" w:sz="0" w:space="0" w:color="auto"/>
        <w:bottom w:val="none" w:sz="0" w:space="0" w:color="auto"/>
        <w:right w:val="none" w:sz="0" w:space="0" w:color="auto"/>
      </w:divBdr>
    </w:div>
    <w:div w:id="1044675812">
      <w:bodyDiv w:val="1"/>
      <w:marLeft w:val="0"/>
      <w:marRight w:val="0"/>
      <w:marTop w:val="0"/>
      <w:marBottom w:val="0"/>
      <w:divBdr>
        <w:top w:val="none" w:sz="0" w:space="0" w:color="auto"/>
        <w:left w:val="none" w:sz="0" w:space="0" w:color="auto"/>
        <w:bottom w:val="none" w:sz="0" w:space="0" w:color="auto"/>
        <w:right w:val="none" w:sz="0" w:space="0" w:color="auto"/>
      </w:divBdr>
    </w:div>
    <w:div w:id="1147825174">
      <w:bodyDiv w:val="1"/>
      <w:marLeft w:val="0"/>
      <w:marRight w:val="0"/>
      <w:marTop w:val="0"/>
      <w:marBottom w:val="0"/>
      <w:divBdr>
        <w:top w:val="none" w:sz="0" w:space="0" w:color="auto"/>
        <w:left w:val="none" w:sz="0" w:space="0" w:color="auto"/>
        <w:bottom w:val="none" w:sz="0" w:space="0" w:color="auto"/>
        <w:right w:val="none" w:sz="0" w:space="0" w:color="auto"/>
      </w:divBdr>
    </w:div>
    <w:div w:id="1166088618">
      <w:bodyDiv w:val="1"/>
      <w:marLeft w:val="0"/>
      <w:marRight w:val="0"/>
      <w:marTop w:val="0"/>
      <w:marBottom w:val="0"/>
      <w:divBdr>
        <w:top w:val="none" w:sz="0" w:space="0" w:color="auto"/>
        <w:left w:val="none" w:sz="0" w:space="0" w:color="auto"/>
        <w:bottom w:val="none" w:sz="0" w:space="0" w:color="auto"/>
        <w:right w:val="none" w:sz="0" w:space="0" w:color="auto"/>
      </w:divBdr>
    </w:div>
    <w:div w:id="1203977494">
      <w:bodyDiv w:val="1"/>
      <w:marLeft w:val="0"/>
      <w:marRight w:val="0"/>
      <w:marTop w:val="0"/>
      <w:marBottom w:val="0"/>
      <w:divBdr>
        <w:top w:val="none" w:sz="0" w:space="0" w:color="auto"/>
        <w:left w:val="none" w:sz="0" w:space="0" w:color="auto"/>
        <w:bottom w:val="none" w:sz="0" w:space="0" w:color="auto"/>
        <w:right w:val="none" w:sz="0" w:space="0" w:color="auto"/>
      </w:divBdr>
    </w:div>
    <w:div w:id="1209610804">
      <w:bodyDiv w:val="1"/>
      <w:marLeft w:val="0"/>
      <w:marRight w:val="0"/>
      <w:marTop w:val="0"/>
      <w:marBottom w:val="0"/>
      <w:divBdr>
        <w:top w:val="none" w:sz="0" w:space="0" w:color="auto"/>
        <w:left w:val="none" w:sz="0" w:space="0" w:color="auto"/>
        <w:bottom w:val="none" w:sz="0" w:space="0" w:color="auto"/>
        <w:right w:val="none" w:sz="0" w:space="0" w:color="auto"/>
      </w:divBdr>
    </w:div>
    <w:div w:id="1244954044">
      <w:bodyDiv w:val="1"/>
      <w:marLeft w:val="0"/>
      <w:marRight w:val="0"/>
      <w:marTop w:val="0"/>
      <w:marBottom w:val="0"/>
      <w:divBdr>
        <w:top w:val="none" w:sz="0" w:space="0" w:color="auto"/>
        <w:left w:val="none" w:sz="0" w:space="0" w:color="auto"/>
        <w:bottom w:val="none" w:sz="0" w:space="0" w:color="auto"/>
        <w:right w:val="none" w:sz="0" w:space="0" w:color="auto"/>
      </w:divBdr>
    </w:div>
    <w:div w:id="1271402220">
      <w:bodyDiv w:val="1"/>
      <w:marLeft w:val="0"/>
      <w:marRight w:val="0"/>
      <w:marTop w:val="0"/>
      <w:marBottom w:val="0"/>
      <w:divBdr>
        <w:top w:val="none" w:sz="0" w:space="0" w:color="auto"/>
        <w:left w:val="none" w:sz="0" w:space="0" w:color="auto"/>
        <w:bottom w:val="none" w:sz="0" w:space="0" w:color="auto"/>
        <w:right w:val="none" w:sz="0" w:space="0" w:color="auto"/>
      </w:divBdr>
      <w:divsChild>
        <w:div w:id="1660035089">
          <w:marLeft w:val="1166"/>
          <w:marRight w:val="0"/>
          <w:marTop w:val="67"/>
          <w:marBottom w:val="120"/>
          <w:divBdr>
            <w:top w:val="none" w:sz="0" w:space="0" w:color="auto"/>
            <w:left w:val="none" w:sz="0" w:space="0" w:color="auto"/>
            <w:bottom w:val="none" w:sz="0" w:space="0" w:color="auto"/>
            <w:right w:val="none" w:sz="0" w:space="0" w:color="auto"/>
          </w:divBdr>
        </w:div>
      </w:divsChild>
    </w:div>
    <w:div w:id="1289580730">
      <w:bodyDiv w:val="1"/>
      <w:marLeft w:val="0"/>
      <w:marRight w:val="0"/>
      <w:marTop w:val="0"/>
      <w:marBottom w:val="0"/>
      <w:divBdr>
        <w:top w:val="none" w:sz="0" w:space="0" w:color="auto"/>
        <w:left w:val="none" w:sz="0" w:space="0" w:color="auto"/>
        <w:bottom w:val="none" w:sz="0" w:space="0" w:color="auto"/>
        <w:right w:val="none" w:sz="0" w:space="0" w:color="auto"/>
      </w:divBdr>
    </w:div>
    <w:div w:id="1319769617">
      <w:bodyDiv w:val="1"/>
      <w:marLeft w:val="0"/>
      <w:marRight w:val="0"/>
      <w:marTop w:val="0"/>
      <w:marBottom w:val="0"/>
      <w:divBdr>
        <w:top w:val="none" w:sz="0" w:space="0" w:color="auto"/>
        <w:left w:val="none" w:sz="0" w:space="0" w:color="auto"/>
        <w:bottom w:val="none" w:sz="0" w:space="0" w:color="auto"/>
        <w:right w:val="none" w:sz="0" w:space="0" w:color="auto"/>
      </w:divBdr>
    </w:div>
    <w:div w:id="1362046213">
      <w:bodyDiv w:val="1"/>
      <w:marLeft w:val="0"/>
      <w:marRight w:val="0"/>
      <w:marTop w:val="0"/>
      <w:marBottom w:val="0"/>
      <w:divBdr>
        <w:top w:val="none" w:sz="0" w:space="0" w:color="auto"/>
        <w:left w:val="none" w:sz="0" w:space="0" w:color="auto"/>
        <w:bottom w:val="none" w:sz="0" w:space="0" w:color="auto"/>
        <w:right w:val="none" w:sz="0" w:space="0" w:color="auto"/>
      </w:divBdr>
    </w:div>
    <w:div w:id="1369374935">
      <w:bodyDiv w:val="1"/>
      <w:marLeft w:val="0"/>
      <w:marRight w:val="0"/>
      <w:marTop w:val="0"/>
      <w:marBottom w:val="0"/>
      <w:divBdr>
        <w:top w:val="none" w:sz="0" w:space="0" w:color="auto"/>
        <w:left w:val="none" w:sz="0" w:space="0" w:color="auto"/>
        <w:bottom w:val="none" w:sz="0" w:space="0" w:color="auto"/>
        <w:right w:val="none" w:sz="0" w:space="0" w:color="auto"/>
      </w:divBdr>
    </w:div>
    <w:div w:id="1382091054">
      <w:bodyDiv w:val="1"/>
      <w:marLeft w:val="0"/>
      <w:marRight w:val="0"/>
      <w:marTop w:val="0"/>
      <w:marBottom w:val="0"/>
      <w:divBdr>
        <w:top w:val="none" w:sz="0" w:space="0" w:color="auto"/>
        <w:left w:val="none" w:sz="0" w:space="0" w:color="auto"/>
        <w:bottom w:val="none" w:sz="0" w:space="0" w:color="auto"/>
        <w:right w:val="none" w:sz="0" w:space="0" w:color="auto"/>
      </w:divBdr>
    </w:div>
    <w:div w:id="1445075283">
      <w:bodyDiv w:val="1"/>
      <w:marLeft w:val="0"/>
      <w:marRight w:val="0"/>
      <w:marTop w:val="0"/>
      <w:marBottom w:val="0"/>
      <w:divBdr>
        <w:top w:val="none" w:sz="0" w:space="0" w:color="auto"/>
        <w:left w:val="none" w:sz="0" w:space="0" w:color="auto"/>
        <w:bottom w:val="none" w:sz="0" w:space="0" w:color="auto"/>
        <w:right w:val="none" w:sz="0" w:space="0" w:color="auto"/>
      </w:divBdr>
    </w:div>
    <w:div w:id="1447772041">
      <w:bodyDiv w:val="1"/>
      <w:marLeft w:val="0"/>
      <w:marRight w:val="0"/>
      <w:marTop w:val="0"/>
      <w:marBottom w:val="0"/>
      <w:divBdr>
        <w:top w:val="none" w:sz="0" w:space="0" w:color="auto"/>
        <w:left w:val="none" w:sz="0" w:space="0" w:color="auto"/>
        <w:bottom w:val="none" w:sz="0" w:space="0" w:color="auto"/>
        <w:right w:val="none" w:sz="0" w:space="0" w:color="auto"/>
      </w:divBdr>
    </w:div>
    <w:div w:id="1452557399">
      <w:bodyDiv w:val="1"/>
      <w:marLeft w:val="0"/>
      <w:marRight w:val="0"/>
      <w:marTop w:val="0"/>
      <w:marBottom w:val="0"/>
      <w:divBdr>
        <w:top w:val="none" w:sz="0" w:space="0" w:color="auto"/>
        <w:left w:val="none" w:sz="0" w:space="0" w:color="auto"/>
        <w:bottom w:val="none" w:sz="0" w:space="0" w:color="auto"/>
        <w:right w:val="none" w:sz="0" w:space="0" w:color="auto"/>
      </w:divBdr>
    </w:div>
    <w:div w:id="1494176852">
      <w:bodyDiv w:val="1"/>
      <w:marLeft w:val="0"/>
      <w:marRight w:val="0"/>
      <w:marTop w:val="0"/>
      <w:marBottom w:val="0"/>
      <w:divBdr>
        <w:top w:val="none" w:sz="0" w:space="0" w:color="auto"/>
        <w:left w:val="none" w:sz="0" w:space="0" w:color="auto"/>
        <w:bottom w:val="none" w:sz="0" w:space="0" w:color="auto"/>
        <w:right w:val="none" w:sz="0" w:space="0" w:color="auto"/>
      </w:divBdr>
    </w:div>
    <w:div w:id="1507359757">
      <w:bodyDiv w:val="1"/>
      <w:marLeft w:val="0"/>
      <w:marRight w:val="0"/>
      <w:marTop w:val="0"/>
      <w:marBottom w:val="0"/>
      <w:divBdr>
        <w:top w:val="none" w:sz="0" w:space="0" w:color="auto"/>
        <w:left w:val="none" w:sz="0" w:space="0" w:color="auto"/>
        <w:bottom w:val="none" w:sz="0" w:space="0" w:color="auto"/>
        <w:right w:val="none" w:sz="0" w:space="0" w:color="auto"/>
      </w:divBdr>
      <w:divsChild>
        <w:div w:id="1387560564">
          <w:marLeft w:val="547"/>
          <w:marRight w:val="0"/>
          <w:marTop w:val="29"/>
          <w:marBottom w:val="0"/>
          <w:divBdr>
            <w:top w:val="none" w:sz="0" w:space="0" w:color="auto"/>
            <w:left w:val="none" w:sz="0" w:space="0" w:color="auto"/>
            <w:bottom w:val="none" w:sz="0" w:space="0" w:color="auto"/>
            <w:right w:val="none" w:sz="0" w:space="0" w:color="auto"/>
          </w:divBdr>
        </w:div>
      </w:divsChild>
    </w:div>
    <w:div w:id="1532306362">
      <w:bodyDiv w:val="1"/>
      <w:marLeft w:val="0"/>
      <w:marRight w:val="0"/>
      <w:marTop w:val="0"/>
      <w:marBottom w:val="0"/>
      <w:divBdr>
        <w:top w:val="none" w:sz="0" w:space="0" w:color="auto"/>
        <w:left w:val="none" w:sz="0" w:space="0" w:color="auto"/>
        <w:bottom w:val="none" w:sz="0" w:space="0" w:color="auto"/>
        <w:right w:val="none" w:sz="0" w:space="0" w:color="auto"/>
      </w:divBdr>
    </w:div>
    <w:div w:id="1538933834">
      <w:bodyDiv w:val="1"/>
      <w:marLeft w:val="0"/>
      <w:marRight w:val="0"/>
      <w:marTop w:val="0"/>
      <w:marBottom w:val="0"/>
      <w:divBdr>
        <w:top w:val="none" w:sz="0" w:space="0" w:color="auto"/>
        <w:left w:val="none" w:sz="0" w:space="0" w:color="auto"/>
        <w:bottom w:val="none" w:sz="0" w:space="0" w:color="auto"/>
        <w:right w:val="none" w:sz="0" w:space="0" w:color="auto"/>
      </w:divBdr>
    </w:div>
    <w:div w:id="1542745232">
      <w:bodyDiv w:val="1"/>
      <w:marLeft w:val="0"/>
      <w:marRight w:val="0"/>
      <w:marTop w:val="0"/>
      <w:marBottom w:val="0"/>
      <w:divBdr>
        <w:top w:val="none" w:sz="0" w:space="0" w:color="auto"/>
        <w:left w:val="none" w:sz="0" w:space="0" w:color="auto"/>
        <w:bottom w:val="none" w:sz="0" w:space="0" w:color="auto"/>
        <w:right w:val="none" w:sz="0" w:space="0" w:color="auto"/>
      </w:divBdr>
      <w:divsChild>
        <w:div w:id="1095634537">
          <w:marLeft w:val="1166"/>
          <w:marRight w:val="0"/>
          <w:marTop w:val="0"/>
          <w:marBottom w:val="80"/>
          <w:divBdr>
            <w:top w:val="none" w:sz="0" w:space="0" w:color="auto"/>
            <w:left w:val="none" w:sz="0" w:space="0" w:color="auto"/>
            <w:bottom w:val="none" w:sz="0" w:space="0" w:color="auto"/>
            <w:right w:val="none" w:sz="0" w:space="0" w:color="auto"/>
          </w:divBdr>
        </w:div>
      </w:divsChild>
    </w:div>
    <w:div w:id="1571424090">
      <w:bodyDiv w:val="1"/>
      <w:marLeft w:val="0"/>
      <w:marRight w:val="0"/>
      <w:marTop w:val="0"/>
      <w:marBottom w:val="0"/>
      <w:divBdr>
        <w:top w:val="none" w:sz="0" w:space="0" w:color="auto"/>
        <w:left w:val="none" w:sz="0" w:space="0" w:color="auto"/>
        <w:bottom w:val="none" w:sz="0" w:space="0" w:color="auto"/>
        <w:right w:val="none" w:sz="0" w:space="0" w:color="auto"/>
      </w:divBdr>
    </w:div>
    <w:div w:id="1586457399">
      <w:bodyDiv w:val="1"/>
      <w:marLeft w:val="0"/>
      <w:marRight w:val="0"/>
      <w:marTop w:val="0"/>
      <w:marBottom w:val="0"/>
      <w:divBdr>
        <w:top w:val="none" w:sz="0" w:space="0" w:color="auto"/>
        <w:left w:val="none" w:sz="0" w:space="0" w:color="auto"/>
        <w:bottom w:val="none" w:sz="0" w:space="0" w:color="auto"/>
        <w:right w:val="none" w:sz="0" w:space="0" w:color="auto"/>
      </w:divBdr>
    </w:div>
    <w:div w:id="1608930388">
      <w:bodyDiv w:val="1"/>
      <w:marLeft w:val="0"/>
      <w:marRight w:val="0"/>
      <w:marTop w:val="0"/>
      <w:marBottom w:val="0"/>
      <w:divBdr>
        <w:top w:val="none" w:sz="0" w:space="0" w:color="auto"/>
        <w:left w:val="none" w:sz="0" w:space="0" w:color="auto"/>
        <w:bottom w:val="none" w:sz="0" w:space="0" w:color="auto"/>
        <w:right w:val="none" w:sz="0" w:space="0" w:color="auto"/>
      </w:divBdr>
    </w:div>
    <w:div w:id="1666276082">
      <w:bodyDiv w:val="1"/>
      <w:marLeft w:val="0"/>
      <w:marRight w:val="0"/>
      <w:marTop w:val="0"/>
      <w:marBottom w:val="0"/>
      <w:divBdr>
        <w:top w:val="none" w:sz="0" w:space="0" w:color="auto"/>
        <w:left w:val="none" w:sz="0" w:space="0" w:color="auto"/>
        <w:bottom w:val="none" w:sz="0" w:space="0" w:color="auto"/>
        <w:right w:val="none" w:sz="0" w:space="0" w:color="auto"/>
      </w:divBdr>
    </w:div>
    <w:div w:id="1772627628">
      <w:bodyDiv w:val="1"/>
      <w:marLeft w:val="0"/>
      <w:marRight w:val="0"/>
      <w:marTop w:val="0"/>
      <w:marBottom w:val="0"/>
      <w:divBdr>
        <w:top w:val="none" w:sz="0" w:space="0" w:color="auto"/>
        <w:left w:val="none" w:sz="0" w:space="0" w:color="auto"/>
        <w:bottom w:val="none" w:sz="0" w:space="0" w:color="auto"/>
        <w:right w:val="none" w:sz="0" w:space="0" w:color="auto"/>
      </w:divBdr>
      <w:divsChild>
        <w:div w:id="879589811">
          <w:marLeft w:val="1166"/>
          <w:marRight w:val="0"/>
          <w:marTop w:val="0"/>
          <w:marBottom w:val="80"/>
          <w:divBdr>
            <w:top w:val="none" w:sz="0" w:space="0" w:color="auto"/>
            <w:left w:val="none" w:sz="0" w:space="0" w:color="auto"/>
            <w:bottom w:val="none" w:sz="0" w:space="0" w:color="auto"/>
            <w:right w:val="none" w:sz="0" w:space="0" w:color="auto"/>
          </w:divBdr>
        </w:div>
      </w:divsChild>
    </w:div>
    <w:div w:id="1777290312">
      <w:bodyDiv w:val="1"/>
      <w:marLeft w:val="0"/>
      <w:marRight w:val="0"/>
      <w:marTop w:val="0"/>
      <w:marBottom w:val="0"/>
      <w:divBdr>
        <w:top w:val="none" w:sz="0" w:space="0" w:color="auto"/>
        <w:left w:val="none" w:sz="0" w:space="0" w:color="auto"/>
        <w:bottom w:val="none" w:sz="0" w:space="0" w:color="auto"/>
        <w:right w:val="none" w:sz="0" w:space="0" w:color="auto"/>
      </w:divBdr>
    </w:div>
    <w:div w:id="1820339228">
      <w:bodyDiv w:val="1"/>
      <w:marLeft w:val="0"/>
      <w:marRight w:val="0"/>
      <w:marTop w:val="0"/>
      <w:marBottom w:val="0"/>
      <w:divBdr>
        <w:top w:val="none" w:sz="0" w:space="0" w:color="auto"/>
        <w:left w:val="none" w:sz="0" w:space="0" w:color="auto"/>
        <w:bottom w:val="none" w:sz="0" w:space="0" w:color="auto"/>
        <w:right w:val="none" w:sz="0" w:space="0" w:color="auto"/>
      </w:divBdr>
    </w:div>
    <w:div w:id="1863394493">
      <w:bodyDiv w:val="1"/>
      <w:marLeft w:val="0"/>
      <w:marRight w:val="0"/>
      <w:marTop w:val="0"/>
      <w:marBottom w:val="0"/>
      <w:divBdr>
        <w:top w:val="none" w:sz="0" w:space="0" w:color="auto"/>
        <w:left w:val="none" w:sz="0" w:space="0" w:color="auto"/>
        <w:bottom w:val="none" w:sz="0" w:space="0" w:color="auto"/>
        <w:right w:val="none" w:sz="0" w:space="0" w:color="auto"/>
      </w:divBdr>
    </w:div>
    <w:div w:id="1922524372">
      <w:bodyDiv w:val="1"/>
      <w:marLeft w:val="0"/>
      <w:marRight w:val="0"/>
      <w:marTop w:val="0"/>
      <w:marBottom w:val="0"/>
      <w:divBdr>
        <w:top w:val="none" w:sz="0" w:space="0" w:color="auto"/>
        <w:left w:val="none" w:sz="0" w:space="0" w:color="auto"/>
        <w:bottom w:val="none" w:sz="0" w:space="0" w:color="auto"/>
        <w:right w:val="none" w:sz="0" w:space="0" w:color="auto"/>
      </w:divBdr>
    </w:div>
    <w:div w:id="1956016407">
      <w:bodyDiv w:val="1"/>
      <w:marLeft w:val="0"/>
      <w:marRight w:val="0"/>
      <w:marTop w:val="0"/>
      <w:marBottom w:val="0"/>
      <w:divBdr>
        <w:top w:val="none" w:sz="0" w:space="0" w:color="auto"/>
        <w:left w:val="none" w:sz="0" w:space="0" w:color="auto"/>
        <w:bottom w:val="none" w:sz="0" w:space="0" w:color="auto"/>
        <w:right w:val="none" w:sz="0" w:space="0" w:color="auto"/>
      </w:divBdr>
    </w:div>
    <w:div w:id="1987778609">
      <w:bodyDiv w:val="1"/>
      <w:marLeft w:val="0"/>
      <w:marRight w:val="0"/>
      <w:marTop w:val="0"/>
      <w:marBottom w:val="0"/>
      <w:divBdr>
        <w:top w:val="none" w:sz="0" w:space="0" w:color="auto"/>
        <w:left w:val="none" w:sz="0" w:space="0" w:color="auto"/>
        <w:bottom w:val="none" w:sz="0" w:space="0" w:color="auto"/>
        <w:right w:val="none" w:sz="0" w:space="0" w:color="auto"/>
      </w:divBdr>
    </w:div>
    <w:div w:id="2076076840">
      <w:bodyDiv w:val="1"/>
      <w:marLeft w:val="0"/>
      <w:marRight w:val="0"/>
      <w:marTop w:val="0"/>
      <w:marBottom w:val="0"/>
      <w:divBdr>
        <w:top w:val="none" w:sz="0" w:space="0" w:color="auto"/>
        <w:left w:val="none" w:sz="0" w:space="0" w:color="auto"/>
        <w:bottom w:val="none" w:sz="0" w:space="0" w:color="auto"/>
        <w:right w:val="none" w:sz="0" w:space="0" w:color="auto"/>
      </w:divBdr>
      <w:divsChild>
        <w:div w:id="1426807083">
          <w:marLeft w:val="547"/>
          <w:marRight w:val="0"/>
          <w:marTop w:val="58"/>
          <w:marBottom w:val="0"/>
          <w:divBdr>
            <w:top w:val="none" w:sz="0" w:space="0" w:color="auto"/>
            <w:left w:val="none" w:sz="0" w:space="0" w:color="auto"/>
            <w:bottom w:val="none" w:sz="0" w:space="0" w:color="auto"/>
            <w:right w:val="none" w:sz="0" w:space="0" w:color="auto"/>
          </w:divBdr>
        </w:div>
      </w:divsChild>
    </w:div>
    <w:div w:id="2076665693">
      <w:bodyDiv w:val="1"/>
      <w:marLeft w:val="0"/>
      <w:marRight w:val="0"/>
      <w:marTop w:val="0"/>
      <w:marBottom w:val="0"/>
      <w:divBdr>
        <w:top w:val="none" w:sz="0" w:space="0" w:color="auto"/>
        <w:left w:val="none" w:sz="0" w:space="0" w:color="auto"/>
        <w:bottom w:val="none" w:sz="0" w:space="0" w:color="auto"/>
        <w:right w:val="none" w:sz="0" w:space="0" w:color="auto"/>
      </w:divBdr>
    </w:div>
    <w:div w:id="21444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tai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uc-scot.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2" ma:contentTypeDescription="Create a new document." ma:contentTypeScope="" ma:versionID="f0d527685cde34c0d0a6d5c8f9879b35">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fcd90c82fcb090f613d56f32cf9371d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603A-1333-4FE5-AE86-2B23526BCF6D}">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5DD9AE3-C6E4-4897-8822-0651EADC22B1}"/>
</file>

<file path=customXml/itemProps3.xml><?xml version="1.0" encoding="utf-8"?>
<ds:datastoreItem xmlns:ds="http://schemas.openxmlformats.org/officeDocument/2006/customXml" ds:itemID="{17E87403-5F12-4D2F-8DB9-492E94F295E5}">
  <ds:schemaRefs>
    <ds:schemaRef ds:uri="http://schemas.microsoft.com/sharepoint/v3/contenttype/forms"/>
  </ds:schemaRefs>
</ds:datastoreItem>
</file>

<file path=customXml/itemProps4.xml><?xml version="1.0" encoding="utf-8"?>
<ds:datastoreItem xmlns:ds="http://schemas.openxmlformats.org/officeDocument/2006/customXml" ds:itemID="{325A42E6-DD31-4FE6-8428-03AFE6EB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14436</Words>
  <Characters>82289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96532</CharactersWithSpaces>
  <SharedDoc>false</SharedDoc>
  <HLinks>
    <vt:vector size="18" baseType="variant">
      <vt:variant>
        <vt:i4>3801191</vt:i4>
      </vt:variant>
      <vt:variant>
        <vt:i4>6</vt:i4>
      </vt:variant>
      <vt:variant>
        <vt:i4>0</vt:i4>
      </vt:variant>
      <vt:variant>
        <vt:i4>5</vt:i4>
      </vt:variant>
      <vt:variant>
        <vt:lpwstr>http://www.ucsp.ac.uk/</vt:lpwstr>
      </vt:variant>
      <vt:variant>
        <vt:lpwstr/>
      </vt:variant>
      <vt:variant>
        <vt:i4>327693</vt:i4>
      </vt:variant>
      <vt:variant>
        <vt:i4>3</vt:i4>
      </vt:variant>
      <vt:variant>
        <vt:i4>0</vt:i4>
      </vt:variant>
      <vt:variant>
        <vt:i4>5</vt:i4>
      </vt:variant>
      <vt:variant>
        <vt:lpwstr>http://www.gem.ac.uk/</vt:lpwstr>
      </vt:variant>
      <vt:variant>
        <vt:lpwstr/>
      </vt:variant>
      <vt:variant>
        <vt:i4>7667835</vt:i4>
      </vt:variant>
      <vt:variant>
        <vt:i4>0</vt:i4>
      </vt:variant>
      <vt:variant>
        <vt:i4>0</vt:i4>
      </vt:variant>
      <vt:variant>
        <vt:i4>5</vt:i4>
      </vt:variant>
      <vt:variant>
        <vt:lpwstr>http://www.apuc-scot.ac.uk/</vt:lpwstr>
      </vt:variant>
      <vt:variant>
        <vt:lpwstr>!/susproject.php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Skinner</dc:creator>
  <cp:lastModifiedBy>Anna Mathews</cp:lastModifiedBy>
  <cp:revision>2</cp:revision>
  <cp:lastPrinted>2016-11-02T18:34:00Z</cp:lastPrinted>
  <dcterms:created xsi:type="dcterms:W3CDTF">2019-05-03T11:14:00Z</dcterms:created>
  <dcterms:modified xsi:type="dcterms:W3CDTF">2019-05-03T11:14:00Z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